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6982" w14:textId="68183C13" w:rsidR="002A16E2" w:rsidRPr="00637339" w:rsidRDefault="002A16E2" w:rsidP="002A16E2">
      <w:pPr>
        <w:autoSpaceDN w:val="0"/>
        <w:adjustRightInd w:val="0"/>
        <w:spacing w:line="276" w:lineRule="auto"/>
        <w:ind w:left="5670"/>
        <w:rPr>
          <w:rFonts w:ascii="Garamond" w:hAnsi="Garamond"/>
          <w:color w:val="000000"/>
          <w:sz w:val="24"/>
          <w:szCs w:val="24"/>
        </w:rPr>
      </w:pPr>
      <w:r w:rsidRPr="00637339">
        <w:rPr>
          <w:rFonts w:ascii="Garamond" w:hAnsi="Garamond"/>
          <w:color w:val="000000"/>
          <w:sz w:val="24"/>
          <w:szCs w:val="24"/>
        </w:rPr>
        <w:t>Załącznik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637339">
        <w:rPr>
          <w:rFonts w:ascii="Garamond" w:hAnsi="Garamond"/>
          <w:color w:val="000000"/>
          <w:sz w:val="24"/>
          <w:szCs w:val="24"/>
        </w:rPr>
        <w:t>do Uchwały nr</w:t>
      </w:r>
      <w:r w:rsidR="00C2542F" w:rsidRPr="00637339">
        <w:rPr>
          <w:rFonts w:ascii="Garamond" w:hAnsi="Garamond"/>
          <w:color w:val="000000"/>
          <w:sz w:val="24"/>
          <w:szCs w:val="24"/>
        </w:rPr>
        <w:t xml:space="preserve"> </w:t>
      </w:r>
      <w:r w:rsidR="00386EFB">
        <w:rPr>
          <w:rFonts w:ascii="Garamond" w:hAnsi="Garamond"/>
          <w:color w:val="000000"/>
          <w:sz w:val="24"/>
          <w:szCs w:val="24"/>
        </w:rPr>
        <w:t>15</w:t>
      </w:r>
      <w:r w:rsidRPr="00637339">
        <w:rPr>
          <w:rFonts w:ascii="Garamond" w:hAnsi="Garamond"/>
          <w:color w:val="000000"/>
          <w:sz w:val="24"/>
          <w:szCs w:val="24"/>
        </w:rPr>
        <w:t>/201</w:t>
      </w:r>
      <w:r>
        <w:rPr>
          <w:rFonts w:ascii="Garamond" w:hAnsi="Garamond"/>
          <w:color w:val="000000"/>
          <w:sz w:val="24"/>
          <w:szCs w:val="24"/>
        </w:rPr>
        <w:t>9</w:t>
      </w:r>
      <w:r w:rsidRPr="00637339">
        <w:rPr>
          <w:rFonts w:ascii="Garamond" w:hAnsi="Garamond"/>
          <w:color w:val="000000"/>
          <w:sz w:val="24"/>
          <w:szCs w:val="24"/>
        </w:rPr>
        <w:t xml:space="preserve"> Zarządu BS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637339">
        <w:rPr>
          <w:rFonts w:ascii="Garamond" w:hAnsi="Garamond"/>
          <w:color w:val="000000"/>
          <w:sz w:val="24"/>
          <w:szCs w:val="24"/>
        </w:rPr>
        <w:t xml:space="preserve">w </w:t>
      </w:r>
      <w:r w:rsidR="006D633D">
        <w:rPr>
          <w:rFonts w:ascii="Garamond" w:hAnsi="Garamond"/>
          <w:color w:val="000000"/>
          <w:sz w:val="24"/>
          <w:szCs w:val="24"/>
        </w:rPr>
        <w:t>Dzierzgoniu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br/>
      </w:r>
      <w:r w:rsidRPr="00637339">
        <w:rPr>
          <w:rFonts w:ascii="Garamond" w:hAnsi="Garamond"/>
          <w:color w:val="000000"/>
          <w:sz w:val="24"/>
          <w:szCs w:val="24"/>
        </w:rPr>
        <w:t xml:space="preserve">z dnia </w:t>
      </w:r>
      <w:r w:rsidR="00386EFB">
        <w:rPr>
          <w:rFonts w:ascii="Garamond" w:hAnsi="Garamond"/>
          <w:color w:val="000000"/>
          <w:sz w:val="24"/>
          <w:szCs w:val="24"/>
        </w:rPr>
        <w:t>24.04.2019</w:t>
      </w:r>
    </w:p>
    <w:p w14:paraId="59F97365" w14:textId="77777777" w:rsidR="002A16E2" w:rsidRPr="00637339" w:rsidRDefault="002A16E2" w:rsidP="002A16E2">
      <w:pPr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4"/>
          <w:szCs w:val="24"/>
        </w:rPr>
      </w:pPr>
    </w:p>
    <w:p w14:paraId="51CCDB5B" w14:textId="4F1BD025" w:rsidR="002A16E2" w:rsidRPr="00637339" w:rsidRDefault="006D633D" w:rsidP="002A16E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</w:t>
      </w:r>
      <w:r w:rsidR="00386EFB">
        <w:rPr>
          <w:rFonts w:ascii="Garamond" w:hAnsi="Garamond"/>
          <w:sz w:val="24"/>
          <w:szCs w:val="24"/>
        </w:rPr>
        <w:t>1</w:t>
      </w:r>
      <w:r w:rsidR="002A16E2" w:rsidRPr="00637339">
        <w:rPr>
          <w:rFonts w:ascii="Garamond" w:hAnsi="Garamond"/>
          <w:sz w:val="24"/>
          <w:szCs w:val="24"/>
        </w:rPr>
        <w:tab/>
      </w:r>
      <w:r w:rsidR="002A16E2" w:rsidRPr="00637339">
        <w:rPr>
          <w:rFonts w:ascii="Garamond" w:hAnsi="Garamond"/>
          <w:sz w:val="24"/>
          <w:szCs w:val="24"/>
        </w:rPr>
        <w:tab/>
      </w:r>
      <w:r w:rsidR="002A16E2" w:rsidRPr="00637339">
        <w:rPr>
          <w:rFonts w:ascii="Garamond" w:hAnsi="Garamond"/>
          <w:sz w:val="24"/>
          <w:szCs w:val="24"/>
        </w:rPr>
        <w:tab/>
      </w:r>
      <w:r w:rsidR="002A16E2" w:rsidRPr="00637339">
        <w:rPr>
          <w:rFonts w:ascii="Garamond" w:hAnsi="Garamond"/>
          <w:sz w:val="24"/>
          <w:szCs w:val="24"/>
        </w:rPr>
        <w:tab/>
      </w:r>
      <w:r w:rsidR="002A16E2" w:rsidRPr="0063733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</w:t>
      </w:r>
      <w:r w:rsidR="00386EFB">
        <w:rPr>
          <w:rFonts w:ascii="Garamond" w:hAnsi="Garamond"/>
          <w:sz w:val="24"/>
          <w:szCs w:val="24"/>
        </w:rPr>
        <w:t xml:space="preserve">            </w:t>
      </w:r>
      <w:r>
        <w:rPr>
          <w:rFonts w:ascii="Garamond" w:hAnsi="Garamond"/>
          <w:sz w:val="24"/>
          <w:szCs w:val="24"/>
        </w:rPr>
        <w:t xml:space="preserve"> </w:t>
      </w:r>
      <w:r w:rsidR="002A16E2" w:rsidRPr="00637339">
        <w:rPr>
          <w:rFonts w:ascii="Garamond" w:hAnsi="Garamond"/>
          <w:sz w:val="24"/>
          <w:szCs w:val="24"/>
        </w:rPr>
        <w:t xml:space="preserve">Zatwierdzono </w:t>
      </w:r>
      <w:r w:rsidR="00C2542F">
        <w:rPr>
          <w:rFonts w:ascii="Garamond" w:hAnsi="Garamond"/>
          <w:sz w:val="24"/>
          <w:szCs w:val="24"/>
        </w:rPr>
        <w:t>–</w:t>
      </w:r>
      <w:r w:rsidR="00C2542F" w:rsidRPr="00637339">
        <w:rPr>
          <w:rFonts w:ascii="Garamond" w:hAnsi="Garamond"/>
          <w:sz w:val="24"/>
          <w:szCs w:val="24"/>
        </w:rPr>
        <w:t xml:space="preserve"> Uchwał</w:t>
      </w:r>
      <w:r w:rsidR="00C2542F">
        <w:rPr>
          <w:rFonts w:ascii="Garamond" w:hAnsi="Garamond"/>
          <w:sz w:val="24"/>
          <w:szCs w:val="24"/>
        </w:rPr>
        <w:t xml:space="preserve">a </w:t>
      </w:r>
      <w:r w:rsidR="002A16E2" w:rsidRPr="00637339">
        <w:rPr>
          <w:rFonts w:ascii="Garamond" w:hAnsi="Garamond"/>
          <w:sz w:val="24"/>
          <w:szCs w:val="24"/>
        </w:rPr>
        <w:t>nr</w:t>
      </w:r>
      <w:r w:rsidR="00C2542F" w:rsidRPr="00637339">
        <w:rPr>
          <w:rFonts w:ascii="Garamond" w:hAnsi="Garamond"/>
          <w:sz w:val="24"/>
          <w:szCs w:val="24"/>
        </w:rPr>
        <w:t xml:space="preserve"> </w:t>
      </w:r>
      <w:r w:rsidR="00386EFB">
        <w:rPr>
          <w:rFonts w:ascii="Garamond" w:hAnsi="Garamond"/>
          <w:sz w:val="24"/>
          <w:szCs w:val="24"/>
        </w:rPr>
        <w:t>22</w:t>
      </w:r>
      <w:r w:rsidR="002A16E2" w:rsidRPr="00637339">
        <w:rPr>
          <w:rFonts w:ascii="Garamond" w:hAnsi="Garamond"/>
          <w:sz w:val="24"/>
          <w:szCs w:val="24"/>
        </w:rPr>
        <w:t>/201</w:t>
      </w:r>
      <w:r w:rsidR="002A16E2">
        <w:rPr>
          <w:rFonts w:ascii="Garamond" w:hAnsi="Garamond"/>
          <w:sz w:val="24"/>
          <w:szCs w:val="24"/>
        </w:rPr>
        <w:t>9</w:t>
      </w:r>
    </w:p>
    <w:p w14:paraId="3B0820F4" w14:textId="4C7782B7" w:rsidR="002A16E2" w:rsidRPr="00637339" w:rsidRDefault="006D633D" w:rsidP="006D633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Uchwały nr</w:t>
      </w:r>
      <w:r w:rsidRPr="00EE6F8D">
        <w:rPr>
          <w:rFonts w:ascii="Garamond" w:hAnsi="Garamond"/>
          <w:sz w:val="24"/>
          <w:szCs w:val="24"/>
        </w:rPr>
        <w:t xml:space="preserve"> </w:t>
      </w:r>
      <w:r w:rsidR="00173ECD">
        <w:rPr>
          <w:rFonts w:ascii="Garamond" w:hAnsi="Garamond"/>
          <w:sz w:val="24"/>
          <w:szCs w:val="24"/>
        </w:rPr>
        <w:t>19</w:t>
      </w:r>
      <w:r w:rsidRPr="00EE6F8D">
        <w:rPr>
          <w:rFonts w:ascii="Garamond" w:hAnsi="Garamond"/>
          <w:sz w:val="24"/>
          <w:szCs w:val="24"/>
        </w:rPr>
        <w:t>/ 2019</w:t>
      </w:r>
      <w:r w:rsidRPr="00386EF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                            </w:t>
      </w:r>
      <w:r w:rsidR="002A16E2" w:rsidRPr="00637339">
        <w:rPr>
          <w:rFonts w:ascii="Garamond" w:hAnsi="Garamond"/>
          <w:sz w:val="24"/>
          <w:szCs w:val="24"/>
        </w:rPr>
        <w:t>Rady Nadzorczej Banku Spółdzielczego</w:t>
      </w:r>
    </w:p>
    <w:p w14:paraId="6CD2CDF6" w14:textId="7913AF53" w:rsidR="006D633D" w:rsidRDefault="006D633D" w:rsidP="006D633D">
      <w:pPr>
        <w:tabs>
          <w:tab w:val="left" w:pos="5625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Zebrania Przedstawicieli </w:t>
      </w:r>
      <w:r w:rsidR="0085522A">
        <w:rPr>
          <w:rFonts w:ascii="Garamond" w:hAnsi="Garamond"/>
          <w:sz w:val="24"/>
          <w:szCs w:val="24"/>
        </w:rPr>
        <w:t>BS</w:t>
      </w:r>
      <w:r>
        <w:rPr>
          <w:rFonts w:ascii="Garamond" w:hAnsi="Garamond"/>
          <w:sz w:val="24"/>
          <w:szCs w:val="24"/>
        </w:rPr>
        <w:tab/>
      </w:r>
      <w:r w:rsidRPr="00637339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Dzierzgoniu </w:t>
      </w:r>
      <w:r w:rsidRPr="00637339">
        <w:rPr>
          <w:rFonts w:ascii="Garamond" w:hAnsi="Garamond"/>
          <w:sz w:val="24"/>
          <w:szCs w:val="24"/>
        </w:rPr>
        <w:t xml:space="preserve">z dnia </w:t>
      </w:r>
      <w:r w:rsidR="00386EFB">
        <w:rPr>
          <w:rFonts w:ascii="Garamond" w:hAnsi="Garamond"/>
          <w:sz w:val="24"/>
          <w:szCs w:val="24"/>
        </w:rPr>
        <w:t>08.05.2019</w:t>
      </w:r>
      <w:r>
        <w:rPr>
          <w:rFonts w:ascii="Garamond" w:hAnsi="Garamond"/>
          <w:sz w:val="24"/>
          <w:szCs w:val="24"/>
        </w:rPr>
        <w:t xml:space="preserve"> r</w:t>
      </w:r>
    </w:p>
    <w:p w14:paraId="41E503E3" w14:textId="272C14D2" w:rsidR="002A16E2" w:rsidRPr="00637339" w:rsidRDefault="006D633D" w:rsidP="006D633D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</w:t>
      </w:r>
      <w:r w:rsidR="00386EFB">
        <w:rPr>
          <w:rFonts w:ascii="Garamond" w:hAnsi="Garamond"/>
          <w:sz w:val="24"/>
          <w:szCs w:val="24"/>
        </w:rPr>
        <w:t>07.06.2019 r.</w:t>
      </w:r>
      <w:r>
        <w:rPr>
          <w:rFonts w:ascii="Garamond" w:hAnsi="Garamond"/>
          <w:sz w:val="24"/>
          <w:szCs w:val="24"/>
        </w:rPr>
        <w:t xml:space="preserve">                                             </w:t>
      </w:r>
    </w:p>
    <w:p w14:paraId="09D2EDBD" w14:textId="77777777" w:rsidR="002A16E2" w:rsidRPr="00637339" w:rsidRDefault="002A16E2" w:rsidP="002A16E2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7BF73011" w14:textId="1B0F3AB4" w:rsidR="002A16E2" w:rsidRPr="00637339" w:rsidRDefault="005A14D2" w:rsidP="00EE6F8D">
      <w:pPr>
        <w:tabs>
          <w:tab w:val="left" w:pos="3900"/>
        </w:tabs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14:paraId="611F51A4" w14:textId="77777777" w:rsidR="002A16E2" w:rsidRPr="00637339" w:rsidRDefault="002A16E2" w:rsidP="002A16E2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098BFD1D" w14:textId="77777777" w:rsidR="002A16E2" w:rsidRPr="00637339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5A79F0AA" w14:textId="08BF4385" w:rsidR="002A16E2" w:rsidRPr="00637339" w:rsidRDefault="006D633D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E0C5A" wp14:editId="2788CD54">
            <wp:extent cx="2286000" cy="962025"/>
            <wp:effectExtent l="0" t="0" r="0" b="9525"/>
            <wp:docPr id="1" name="Obraz 1" descr="C:\Users\KatarzynaN\Desktop\zestawienie regulacji BS\multiregulacje\Zasady Ładu Korporacyjnego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N\Desktop\zestawienie regulacji BS\multiregulacje\Zasady Ładu Korporacyjnego\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28D44" w14:textId="77777777" w:rsidR="002A16E2" w:rsidRPr="00637339" w:rsidRDefault="002A16E2" w:rsidP="002A16E2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49C22592" w14:textId="77777777" w:rsidR="002A16E2" w:rsidRPr="00637339" w:rsidRDefault="002A16E2" w:rsidP="006D633D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382830E6" w14:textId="77777777" w:rsidR="002A16E2" w:rsidRPr="00637339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8E8BFBE" w14:textId="77777777" w:rsidR="002A16E2" w:rsidRPr="006D633D" w:rsidRDefault="002A16E2" w:rsidP="002A16E2">
      <w:pPr>
        <w:pStyle w:val="Nagwek4"/>
        <w:rPr>
          <w:rFonts w:ascii="Garamond" w:eastAsia="Calibri" w:hAnsi="Garamond"/>
          <w:i w:val="0"/>
          <w:sz w:val="44"/>
          <w:szCs w:val="44"/>
        </w:rPr>
      </w:pPr>
      <w:r w:rsidRPr="006D633D">
        <w:rPr>
          <w:rFonts w:ascii="Garamond" w:eastAsia="Calibri" w:hAnsi="Garamond"/>
          <w:i w:val="0"/>
          <w:sz w:val="44"/>
          <w:szCs w:val="44"/>
        </w:rPr>
        <w:t xml:space="preserve">Polityka Ładu Korporacyjnego </w:t>
      </w:r>
      <w:r w:rsidRPr="006D633D">
        <w:rPr>
          <w:rFonts w:ascii="Garamond" w:eastAsia="Calibri" w:hAnsi="Garamond"/>
          <w:i w:val="0"/>
          <w:sz w:val="44"/>
          <w:szCs w:val="44"/>
        </w:rPr>
        <w:br/>
        <w:t xml:space="preserve">Banku Spółdzielczego </w:t>
      </w:r>
    </w:p>
    <w:p w14:paraId="1410D436" w14:textId="07377628" w:rsidR="002A16E2" w:rsidRPr="006D633D" w:rsidRDefault="002A16E2" w:rsidP="002A16E2">
      <w:pPr>
        <w:pStyle w:val="Nagwek4"/>
        <w:rPr>
          <w:rFonts w:ascii="Garamond" w:eastAsia="Calibri" w:hAnsi="Garamond"/>
          <w:i w:val="0"/>
          <w:sz w:val="44"/>
          <w:szCs w:val="44"/>
        </w:rPr>
      </w:pPr>
      <w:r w:rsidRPr="006D633D">
        <w:rPr>
          <w:rFonts w:ascii="Garamond" w:eastAsia="Calibri" w:hAnsi="Garamond"/>
          <w:i w:val="0"/>
          <w:sz w:val="44"/>
          <w:szCs w:val="44"/>
        </w:rPr>
        <w:t xml:space="preserve">w </w:t>
      </w:r>
      <w:r w:rsidR="006D633D">
        <w:rPr>
          <w:rFonts w:ascii="Garamond" w:eastAsia="Calibri" w:hAnsi="Garamond"/>
          <w:i w:val="0"/>
          <w:sz w:val="44"/>
          <w:szCs w:val="44"/>
        </w:rPr>
        <w:t>Dzierzgoniu</w:t>
      </w:r>
    </w:p>
    <w:p w14:paraId="64A9DC94" w14:textId="77777777" w:rsidR="002A16E2" w:rsidRPr="006D633D" w:rsidRDefault="002A16E2" w:rsidP="002A16E2">
      <w:pPr>
        <w:spacing w:line="360" w:lineRule="auto"/>
        <w:rPr>
          <w:rFonts w:ascii="Garamond" w:hAnsi="Garamond"/>
          <w:sz w:val="44"/>
          <w:szCs w:val="44"/>
        </w:rPr>
      </w:pPr>
    </w:p>
    <w:p w14:paraId="6380061C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4177530A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19B96B92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796077B5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04DD5963" w14:textId="77777777" w:rsidR="002A16E2" w:rsidRPr="00637339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ABADD8B" w14:textId="77777777" w:rsidR="002A16E2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60FA09E5" w14:textId="77777777" w:rsidR="001C04EB" w:rsidRDefault="001C04EB" w:rsidP="006D633D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735A7400" w14:textId="77777777" w:rsidR="001C04EB" w:rsidRPr="00637339" w:rsidRDefault="001C04EB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DD1E847" w14:textId="77777777" w:rsidR="002A16E2" w:rsidRPr="00637339" w:rsidRDefault="002A16E2" w:rsidP="002A16E2">
      <w:pPr>
        <w:spacing w:line="360" w:lineRule="auto"/>
        <w:rPr>
          <w:rFonts w:ascii="Garamond" w:hAnsi="Garamond"/>
          <w:b/>
          <w:sz w:val="24"/>
          <w:szCs w:val="24"/>
        </w:rPr>
      </w:pPr>
      <w:r w:rsidRPr="00637339">
        <w:rPr>
          <w:rFonts w:ascii="Garamond" w:hAnsi="Garamond"/>
          <w:b/>
          <w:sz w:val="24"/>
          <w:szCs w:val="24"/>
        </w:rPr>
        <w:t>_____________________________________________________________________</w:t>
      </w:r>
    </w:p>
    <w:p w14:paraId="68C8A9E8" w14:textId="2C445D70" w:rsidR="002A16E2" w:rsidRPr="00637339" w:rsidRDefault="006D633D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Dzierzgoń </w:t>
      </w:r>
      <w:r w:rsidR="002A16E2" w:rsidRPr="00637339">
        <w:rPr>
          <w:rFonts w:ascii="Garamond" w:hAnsi="Garamond"/>
          <w:b/>
          <w:sz w:val="24"/>
          <w:szCs w:val="24"/>
        </w:rPr>
        <w:t>,</w:t>
      </w:r>
      <w:r w:rsidR="002A16E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czerwiec </w:t>
      </w:r>
      <w:r w:rsidR="00C2542F">
        <w:rPr>
          <w:rFonts w:ascii="Garamond" w:hAnsi="Garamond"/>
          <w:b/>
          <w:sz w:val="24"/>
          <w:szCs w:val="24"/>
        </w:rPr>
        <w:t xml:space="preserve">2019 </w:t>
      </w:r>
      <w:r w:rsidR="00C2542F" w:rsidRPr="00637339">
        <w:rPr>
          <w:rFonts w:ascii="Garamond" w:hAnsi="Garamond"/>
          <w:b/>
          <w:sz w:val="24"/>
          <w:szCs w:val="24"/>
        </w:rPr>
        <w:t>r.</w:t>
      </w:r>
    </w:p>
    <w:p w14:paraId="752B195F" w14:textId="77777777" w:rsidR="002A16E2" w:rsidRDefault="002A16E2">
      <w:pPr>
        <w:spacing w:after="160" w:line="259" w:lineRule="auto"/>
        <w:rPr>
          <w:rFonts w:ascii="Garamond" w:hAnsi="Garamond"/>
          <w:sz w:val="24"/>
          <w:szCs w:val="24"/>
        </w:rPr>
      </w:pPr>
      <w:bookmarkStart w:id="1" w:name="_Toc296677807"/>
      <w:r>
        <w:rPr>
          <w:rFonts w:ascii="Garamond" w:hAnsi="Garamond"/>
          <w:sz w:val="24"/>
          <w:szCs w:val="24"/>
        </w:rPr>
        <w:br w:type="page"/>
      </w:r>
    </w:p>
    <w:p w14:paraId="11794787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</w:p>
    <w:p w14:paraId="66C64874" w14:textId="77777777" w:rsidR="00E30C6A" w:rsidRPr="00C2542F" w:rsidRDefault="00E30C6A">
      <w:pPr>
        <w:spacing w:after="160" w:line="259" w:lineRule="auto"/>
        <w:rPr>
          <w:rFonts w:ascii="Garamond" w:hAnsi="Garamond"/>
          <w:b/>
          <w:i/>
          <w:sz w:val="24"/>
          <w:szCs w:val="24"/>
        </w:rPr>
      </w:pPr>
      <w:r w:rsidRPr="00C2542F">
        <w:rPr>
          <w:rFonts w:ascii="Garamond" w:hAnsi="Garamond"/>
          <w:b/>
          <w:i/>
          <w:sz w:val="24"/>
          <w:szCs w:val="24"/>
        </w:rPr>
        <w:t>Spis treści:</w:t>
      </w:r>
    </w:p>
    <w:p w14:paraId="6315BFF6" w14:textId="11467A2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Wprowadzenie </w:t>
      </w:r>
      <w:r>
        <w:rPr>
          <w:rFonts w:ascii="Garamond" w:hAnsi="Garamond"/>
          <w:i/>
          <w:sz w:val="24"/>
          <w:szCs w:val="24"/>
        </w:rPr>
        <w:tab/>
        <w:t>s. 3</w:t>
      </w:r>
    </w:p>
    <w:p w14:paraId="45B1FE46" w14:textId="7777777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Rozdział 1 Definicje </w:t>
      </w:r>
      <w:r>
        <w:rPr>
          <w:rFonts w:ascii="Garamond" w:hAnsi="Garamond"/>
          <w:i/>
          <w:sz w:val="24"/>
          <w:szCs w:val="24"/>
        </w:rPr>
        <w:tab/>
        <w:t>s. 4</w:t>
      </w:r>
    </w:p>
    <w:p w14:paraId="4CB3B176" w14:textId="7777777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2 Organizacja Banku i struktura organizacyjna</w:t>
      </w:r>
      <w:r>
        <w:rPr>
          <w:rFonts w:ascii="Garamond" w:hAnsi="Garamond"/>
          <w:i/>
          <w:sz w:val="24"/>
          <w:szCs w:val="24"/>
        </w:rPr>
        <w:tab/>
        <w:t>s. 5</w:t>
      </w:r>
    </w:p>
    <w:p w14:paraId="7CE2ED88" w14:textId="7777777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3 Relacja Banku z członkami</w:t>
      </w:r>
      <w:r>
        <w:rPr>
          <w:rFonts w:ascii="Garamond" w:hAnsi="Garamond"/>
          <w:i/>
          <w:sz w:val="24"/>
          <w:szCs w:val="24"/>
        </w:rPr>
        <w:tab/>
        <w:t>s. 7</w:t>
      </w:r>
    </w:p>
    <w:p w14:paraId="58A4000D" w14:textId="7777777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4 Zarząd</w:t>
      </w:r>
      <w:r>
        <w:rPr>
          <w:rFonts w:ascii="Garamond" w:hAnsi="Garamond"/>
          <w:i/>
          <w:sz w:val="24"/>
          <w:szCs w:val="24"/>
        </w:rPr>
        <w:tab/>
        <w:t>s. 8</w:t>
      </w:r>
    </w:p>
    <w:p w14:paraId="2C1C091E" w14:textId="77777777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5 Rada Nadzorcza</w:t>
      </w:r>
      <w:r>
        <w:rPr>
          <w:rFonts w:ascii="Garamond" w:hAnsi="Garamond"/>
          <w:i/>
          <w:sz w:val="24"/>
          <w:szCs w:val="24"/>
        </w:rPr>
        <w:tab/>
        <w:t>s. 11</w:t>
      </w:r>
    </w:p>
    <w:p w14:paraId="36BB727C" w14:textId="5455475E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6 Polityka w zakresie outsourcingu</w:t>
      </w:r>
      <w:r>
        <w:rPr>
          <w:rFonts w:ascii="Garamond" w:hAnsi="Garamond"/>
          <w:i/>
          <w:sz w:val="24"/>
          <w:szCs w:val="24"/>
        </w:rPr>
        <w:tab/>
        <w:t>s. 14</w:t>
      </w:r>
    </w:p>
    <w:p w14:paraId="258311D4" w14:textId="045AE323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7 Kultura ryzyka i standardy etyczne</w:t>
      </w:r>
      <w:r>
        <w:rPr>
          <w:rFonts w:ascii="Garamond" w:hAnsi="Garamond"/>
          <w:i/>
          <w:sz w:val="24"/>
          <w:szCs w:val="24"/>
        </w:rPr>
        <w:tab/>
        <w:t>s. 14</w:t>
      </w:r>
    </w:p>
    <w:p w14:paraId="0A65CC62" w14:textId="11F1282F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8 Konflikt interesów</w:t>
      </w:r>
      <w:r>
        <w:rPr>
          <w:rFonts w:ascii="Garamond" w:hAnsi="Garamond"/>
          <w:i/>
          <w:sz w:val="24"/>
          <w:szCs w:val="24"/>
        </w:rPr>
        <w:tab/>
        <w:t>s. 15</w:t>
      </w:r>
    </w:p>
    <w:p w14:paraId="0324E874" w14:textId="55C6FC04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9 Polityka wynagradzania</w:t>
      </w:r>
      <w:r>
        <w:rPr>
          <w:rFonts w:ascii="Garamond" w:hAnsi="Garamond"/>
          <w:i/>
          <w:sz w:val="24"/>
          <w:szCs w:val="24"/>
        </w:rPr>
        <w:tab/>
        <w:t>s. 16</w:t>
      </w:r>
    </w:p>
    <w:p w14:paraId="61C74E23" w14:textId="18EE9B1A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10 Polityka informacyjna</w:t>
      </w:r>
      <w:r>
        <w:rPr>
          <w:rFonts w:ascii="Garamond" w:hAnsi="Garamond"/>
          <w:i/>
          <w:sz w:val="24"/>
          <w:szCs w:val="24"/>
        </w:rPr>
        <w:tab/>
        <w:t>s. 17</w:t>
      </w:r>
    </w:p>
    <w:p w14:paraId="2E95A736" w14:textId="4BE3A87C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11 Polityka wprowadzania nowych produktów i usług. Działalność promocyjna</w:t>
      </w:r>
      <w:r>
        <w:rPr>
          <w:rFonts w:ascii="Garamond" w:hAnsi="Garamond"/>
          <w:i/>
          <w:sz w:val="24"/>
          <w:szCs w:val="24"/>
        </w:rPr>
        <w:tab/>
        <w:t>s. 17</w:t>
      </w:r>
    </w:p>
    <w:p w14:paraId="18B6C4AF" w14:textId="77777777" w:rsidR="00E30C6A" w:rsidRDefault="00E30C6A" w:rsidP="00E30C6A">
      <w:pPr>
        <w:tabs>
          <w:tab w:val="left" w:pos="7371"/>
        </w:tabs>
        <w:spacing w:after="160" w:line="259" w:lineRule="auto"/>
        <w:ind w:firstLine="1134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 relacje z klientami</w:t>
      </w:r>
    </w:p>
    <w:p w14:paraId="0ACD6E65" w14:textId="5EA7D1FE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Rozdział 12 Kluczowe systemy i funkcje wewnętrzne</w:t>
      </w:r>
      <w:r>
        <w:rPr>
          <w:rFonts w:ascii="Garamond" w:hAnsi="Garamond"/>
          <w:i/>
          <w:sz w:val="24"/>
          <w:szCs w:val="24"/>
        </w:rPr>
        <w:tab/>
        <w:t>s. 19</w:t>
      </w:r>
    </w:p>
    <w:p w14:paraId="3C449125" w14:textId="10FB1125" w:rsidR="00E30C6A" w:rsidRDefault="00E30C6A" w:rsidP="00E30C6A">
      <w:pPr>
        <w:tabs>
          <w:tab w:val="left" w:pos="7371"/>
        </w:tabs>
        <w:spacing w:after="160" w:line="259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br w:type="page"/>
      </w:r>
    </w:p>
    <w:p w14:paraId="4A6DD3ED" w14:textId="24F30669" w:rsidR="00E30C6A" w:rsidRDefault="00E30C6A">
      <w:pPr>
        <w:spacing w:after="160" w:line="259" w:lineRule="auto"/>
        <w:rPr>
          <w:rFonts w:ascii="Garamond" w:eastAsia="Times New Roman" w:hAnsi="Garamond"/>
          <w:b/>
          <w:sz w:val="24"/>
          <w:szCs w:val="24"/>
        </w:rPr>
      </w:pPr>
    </w:p>
    <w:p w14:paraId="74B9BCD0" w14:textId="491EC3A6" w:rsidR="002A16E2" w:rsidRPr="00637339" w:rsidRDefault="002A16E2" w:rsidP="002A16E2">
      <w:pPr>
        <w:pStyle w:val="Nagwek4"/>
        <w:rPr>
          <w:rFonts w:ascii="Garamond" w:hAnsi="Garamond"/>
          <w:i w:val="0"/>
          <w:sz w:val="24"/>
          <w:szCs w:val="24"/>
        </w:rPr>
      </w:pPr>
      <w:r w:rsidRPr="00637339">
        <w:rPr>
          <w:rFonts w:ascii="Garamond" w:hAnsi="Garamond"/>
          <w:i w:val="0"/>
          <w:sz w:val="24"/>
          <w:szCs w:val="24"/>
        </w:rPr>
        <w:t>Wprowadzenie</w:t>
      </w:r>
    </w:p>
    <w:p w14:paraId="148D6F4D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</w:p>
    <w:p w14:paraId="10F39AA4" w14:textId="1005DEE8" w:rsidR="002A16E2" w:rsidRPr="00637339" w:rsidRDefault="0041628B" w:rsidP="0041628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>W związku</w:t>
      </w:r>
      <w:r w:rsidR="002A16E2" w:rsidRPr="00637339">
        <w:rPr>
          <w:rFonts w:ascii="Garamond" w:hAnsi="Garamond"/>
          <w:sz w:val="24"/>
          <w:szCs w:val="24"/>
        </w:rPr>
        <w:t xml:space="preserve"> z wdrożeniem przez Komisję Nadzoru Finansowego- Zasad Ładu Korporacyjnego, Bank Spółdzielczy w </w:t>
      </w:r>
      <w:r w:rsidR="006D633D">
        <w:rPr>
          <w:rFonts w:ascii="Garamond" w:hAnsi="Garamond"/>
          <w:sz w:val="24"/>
          <w:szCs w:val="24"/>
        </w:rPr>
        <w:t>Dzierzgoniu</w:t>
      </w:r>
      <w:r w:rsidR="002A16E2" w:rsidRPr="00637339">
        <w:rPr>
          <w:rFonts w:ascii="Garamond" w:hAnsi="Garamond"/>
          <w:sz w:val="24"/>
          <w:szCs w:val="24"/>
        </w:rPr>
        <w:t xml:space="preserve"> z siedzibą w </w:t>
      </w:r>
      <w:r w:rsidR="006D633D">
        <w:rPr>
          <w:rFonts w:ascii="Garamond" w:hAnsi="Garamond"/>
          <w:sz w:val="24"/>
          <w:szCs w:val="24"/>
        </w:rPr>
        <w:t>Dzierzgoniu</w:t>
      </w:r>
      <w:r w:rsidR="002A16E2" w:rsidRPr="00637339">
        <w:rPr>
          <w:rFonts w:ascii="Garamond" w:hAnsi="Garamond"/>
          <w:sz w:val="24"/>
          <w:szCs w:val="24"/>
        </w:rPr>
        <w:t xml:space="preserve">, </w:t>
      </w:r>
      <w:r w:rsidR="006D633D">
        <w:rPr>
          <w:rFonts w:ascii="Garamond" w:hAnsi="Garamond"/>
          <w:sz w:val="24"/>
          <w:szCs w:val="24"/>
        </w:rPr>
        <w:t xml:space="preserve">                                         </w:t>
      </w:r>
      <w:r w:rsidR="002A16E2" w:rsidRPr="00637339">
        <w:rPr>
          <w:rFonts w:ascii="Garamond" w:hAnsi="Garamond"/>
          <w:sz w:val="24"/>
          <w:szCs w:val="24"/>
        </w:rPr>
        <w:t xml:space="preserve">ul.  </w:t>
      </w:r>
      <w:r w:rsidR="006D633D">
        <w:rPr>
          <w:rFonts w:ascii="Garamond" w:hAnsi="Garamond"/>
          <w:sz w:val="24"/>
          <w:szCs w:val="24"/>
        </w:rPr>
        <w:t xml:space="preserve">Wojska Polskiego 4 </w:t>
      </w:r>
      <w:r w:rsidR="002A16E2" w:rsidRPr="00637339">
        <w:rPr>
          <w:rFonts w:ascii="Garamond" w:hAnsi="Garamond"/>
          <w:sz w:val="24"/>
          <w:szCs w:val="24"/>
        </w:rPr>
        <w:t>zwany dalej „Bankiem”, a takż</w:t>
      </w:r>
      <w:r w:rsidR="002A16E2">
        <w:rPr>
          <w:rFonts w:ascii="Garamond" w:hAnsi="Garamond"/>
          <w:sz w:val="24"/>
          <w:szCs w:val="24"/>
        </w:rPr>
        <w:t>e</w:t>
      </w:r>
      <w:r w:rsidR="002A16E2" w:rsidRPr="00637339">
        <w:rPr>
          <w:rFonts w:ascii="Garamond" w:hAnsi="Garamond"/>
          <w:sz w:val="24"/>
          <w:szCs w:val="24"/>
        </w:rPr>
        <w:t xml:space="preserve"> uwzględniając Wytyczne EBA/ GL/2017/11 z dnia 21 marca 2018 r. </w:t>
      </w:r>
      <w:r>
        <w:rPr>
          <w:rFonts w:ascii="Garamond" w:hAnsi="Garamond"/>
          <w:sz w:val="24"/>
          <w:szCs w:val="24"/>
        </w:rPr>
        <w:t xml:space="preserve"> </w:t>
      </w:r>
      <w:r w:rsidR="002A16E2" w:rsidRPr="00637339">
        <w:rPr>
          <w:rFonts w:ascii="Garamond" w:hAnsi="Garamond"/>
          <w:sz w:val="24"/>
          <w:szCs w:val="24"/>
        </w:rPr>
        <w:t xml:space="preserve">w sprawie zarządzania </w:t>
      </w:r>
      <w:r w:rsidRPr="00637339">
        <w:rPr>
          <w:rFonts w:ascii="Garamond" w:hAnsi="Garamond"/>
          <w:sz w:val="24"/>
          <w:szCs w:val="24"/>
        </w:rPr>
        <w:t>wewnętrznego oświadcza</w:t>
      </w:r>
      <w:r w:rsidR="002A16E2" w:rsidRPr="00637339">
        <w:rPr>
          <w:rFonts w:ascii="Garamond" w:hAnsi="Garamond"/>
          <w:sz w:val="24"/>
          <w:szCs w:val="24"/>
        </w:rPr>
        <w:t>, że poprzez przyjęcie niniejszej Polityki</w:t>
      </w:r>
      <w:r w:rsidR="002A16E2">
        <w:rPr>
          <w:rFonts w:ascii="Garamond" w:hAnsi="Garamond"/>
          <w:sz w:val="24"/>
          <w:szCs w:val="24"/>
        </w:rPr>
        <w:t>,</w:t>
      </w:r>
      <w:r w:rsidR="002A16E2" w:rsidRPr="00637339">
        <w:rPr>
          <w:rFonts w:ascii="Garamond" w:hAnsi="Garamond"/>
          <w:sz w:val="24"/>
          <w:szCs w:val="24"/>
        </w:rPr>
        <w:t xml:space="preserve"> wprowadza Zasady Ładu Korporacyjnego określone w dokumencie KNF zgodnie z zasadą proporcjonalności i adekwatności wynikającą ze skali, charakteru działalności oraz specyfiki Banku.</w:t>
      </w:r>
    </w:p>
    <w:p w14:paraId="6C804BDC" w14:textId="7777777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0EB1F4D" w14:textId="3920792D" w:rsidR="002A16E2" w:rsidRPr="00252A02" w:rsidRDefault="002A16E2" w:rsidP="0041628B">
      <w:pPr>
        <w:ind w:firstLine="567"/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 xml:space="preserve">Przy opracowaniu niniejszej Polityki Bank Spółdzielczy w </w:t>
      </w:r>
      <w:r w:rsidR="006D633D">
        <w:rPr>
          <w:rFonts w:ascii="Garamond" w:hAnsi="Garamond"/>
          <w:sz w:val="24"/>
          <w:szCs w:val="24"/>
        </w:rPr>
        <w:t>Dzierzgoniu</w:t>
      </w:r>
      <w:r w:rsidRPr="00252A02">
        <w:rPr>
          <w:rFonts w:ascii="Garamond" w:hAnsi="Garamond"/>
          <w:sz w:val="24"/>
          <w:szCs w:val="24"/>
        </w:rPr>
        <w:t xml:space="preserve"> jako instytucja nadzorowana, podlegająca wymogom określonym w Wytycznych EBA i </w:t>
      </w:r>
      <w:r w:rsidR="0041628B" w:rsidRPr="00252A02">
        <w:rPr>
          <w:rFonts w:ascii="Garamond" w:hAnsi="Garamond"/>
          <w:sz w:val="24"/>
          <w:szCs w:val="24"/>
        </w:rPr>
        <w:t>ESMA wziął</w:t>
      </w:r>
      <w:r w:rsidRPr="00252A02">
        <w:rPr>
          <w:rFonts w:ascii="Garamond" w:hAnsi="Garamond"/>
          <w:sz w:val="24"/>
          <w:szCs w:val="24"/>
        </w:rPr>
        <w:t xml:space="preserve"> pod uwagę następujące czynniki: </w:t>
      </w:r>
    </w:p>
    <w:p w14:paraId="271C8180" w14:textId="31F4BC05" w:rsidR="002A16E2" w:rsidRPr="001D0DEE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swój rozmiar, a w szczególności, fakt iż suma bilansowa Banku wynosi</w:t>
      </w:r>
      <w:r w:rsidR="0041628B">
        <w:rPr>
          <w:rFonts w:ascii="Garamond" w:hAnsi="Garamond"/>
          <w:sz w:val="24"/>
          <w:szCs w:val="24"/>
        </w:rPr>
        <w:t>:</w:t>
      </w:r>
      <w:r w:rsidRPr="00252A02">
        <w:rPr>
          <w:rFonts w:ascii="Garamond" w:hAnsi="Garamond"/>
          <w:sz w:val="24"/>
          <w:szCs w:val="24"/>
        </w:rPr>
        <w:t xml:space="preserve"> </w:t>
      </w:r>
      <w:r w:rsidR="006D633D">
        <w:rPr>
          <w:rFonts w:ascii="Garamond" w:hAnsi="Garamond"/>
          <w:sz w:val="24"/>
          <w:szCs w:val="24"/>
        </w:rPr>
        <w:t>18</w:t>
      </w:r>
      <w:r w:rsidR="001D0DEE">
        <w:rPr>
          <w:rFonts w:ascii="Garamond" w:hAnsi="Garamond"/>
          <w:sz w:val="24"/>
          <w:szCs w:val="24"/>
        </w:rPr>
        <w:t>2</w:t>
      </w:r>
      <w:r w:rsidR="006D633D">
        <w:rPr>
          <w:rFonts w:ascii="Garamond" w:hAnsi="Garamond"/>
          <w:sz w:val="24"/>
          <w:szCs w:val="24"/>
        </w:rPr>
        <w:t xml:space="preserve"> mln</w:t>
      </w:r>
      <w:r w:rsidRPr="00252A02">
        <w:rPr>
          <w:rFonts w:ascii="Garamond" w:hAnsi="Garamond"/>
          <w:sz w:val="24"/>
          <w:szCs w:val="24"/>
        </w:rPr>
        <w:t xml:space="preserve">, suma aktywów posiadanych przez klientów wynosi  </w:t>
      </w:r>
      <w:r w:rsidR="006D633D" w:rsidRPr="001D0DEE">
        <w:rPr>
          <w:rFonts w:ascii="Garamond" w:hAnsi="Garamond"/>
          <w:sz w:val="24"/>
          <w:szCs w:val="24"/>
        </w:rPr>
        <w:t>mieści się w przedziale do 200 mln.</w:t>
      </w:r>
    </w:p>
    <w:p w14:paraId="0BA0CBA4" w14:textId="77777777" w:rsidR="002A16E2" w:rsidRPr="00252A02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swoją organizację wewnętrzną, a w szczególności, iż Bank działa w formie spółdzielni na podstawie ustawy o funkcjonowaniu banków spółdzielczych, ich zrzeszaniu się i bankach zrzeszających oraz ustawy Prawo spółdzielcze</w:t>
      </w:r>
      <w:r>
        <w:rPr>
          <w:rFonts w:ascii="Garamond" w:hAnsi="Garamond"/>
          <w:sz w:val="24"/>
          <w:szCs w:val="24"/>
        </w:rPr>
        <w:t xml:space="preserve"> oraz ustawy Prawo bankowe</w:t>
      </w:r>
      <w:r w:rsidRPr="00252A02">
        <w:rPr>
          <w:rFonts w:ascii="Garamond" w:hAnsi="Garamond"/>
          <w:sz w:val="24"/>
          <w:szCs w:val="24"/>
        </w:rPr>
        <w:t>,</w:t>
      </w:r>
    </w:p>
    <w:p w14:paraId="32B118A3" w14:textId="0031DD05" w:rsidR="002A16E2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charakter skalę i stopień złożoności prowadzonej działalności, w szczególności fakt, iż wykonuje czynności bankowe objęte zezwoleniem organu nadzorczego oraz określonych statutem</w:t>
      </w:r>
      <w:r w:rsidR="008D5158">
        <w:rPr>
          <w:rFonts w:ascii="Garamond" w:hAnsi="Garamond"/>
          <w:sz w:val="24"/>
          <w:szCs w:val="24"/>
        </w:rPr>
        <w:t>,</w:t>
      </w:r>
    </w:p>
    <w:p w14:paraId="4F0AF8AF" w14:textId="09A37B38" w:rsidR="002A16E2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okoliczność, iż Bank nie jest notowany na giełdzie; </w:t>
      </w:r>
      <w:r w:rsidR="001D0DEE">
        <w:rPr>
          <w:rFonts w:ascii="Garamond" w:hAnsi="Garamond"/>
          <w:sz w:val="24"/>
          <w:szCs w:val="24"/>
        </w:rPr>
        <w:t>nie posiada</w:t>
      </w:r>
      <w:r w:rsidR="00E952D7">
        <w:rPr>
          <w:rFonts w:ascii="Garamond" w:hAnsi="Garamond"/>
          <w:sz w:val="24"/>
          <w:szCs w:val="24"/>
        </w:rPr>
        <w:t xml:space="preserve"> papier</w:t>
      </w:r>
      <w:r w:rsidR="001D0DEE">
        <w:rPr>
          <w:rFonts w:ascii="Garamond" w:hAnsi="Garamond"/>
          <w:sz w:val="24"/>
          <w:szCs w:val="24"/>
        </w:rPr>
        <w:t>ów</w:t>
      </w:r>
      <w:r w:rsidR="00E952D7">
        <w:rPr>
          <w:rFonts w:ascii="Garamond" w:hAnsi="Garamond"/>
          <w:sz w:val="24"/>
          <w:szCs w:val="24"/>
        </w:rPr>
        <w:t xml:space="preserve"> wartościow</w:t>
      </w:r>
      <w:r w:rsidR="001D0DEE">
        <w:rPr>
          <w:rFonts w:ascii="Garamond" w:hAnsi="Garamond"/>
          <w:sz w:val="24"/>
          <w:szCs w:val="24"/>
        </w:rPr>
        <w:t>ych</w:t>
      </w:r>
      <w:r w:rsidR="00E952D7">
        <w:rPr>
          <w:rFonts w:ascii="Garamond" w:hAnsi="Garamond"/>
          <w:sz w:val="24"/>
          <w:szCs w:val="24"/>
        </w:rPr>
        <w:t xml:space="preserve"> na rynku równoległym GPW</w:t>
      </w:r>
      <w:r w:rsidR="008D5158">
        <w:rPr>
          <w:rFonts w:ascii="Garamond" w:hAnsi="Garamond"/>
          <w:sz w:val="24"/>
          <w:szCs w:val="24"/>
        </w:rPr>
        <w:t>,</w:t>
      </w:r>
    </w:p>
    <w:p w14:paraId="77D4FC28" w14:textId="27ACD764" w:rsidR="002A16E2" w:rsidRPr="00380E1F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 xml:space="preserve">okoliczność, iż Bank Spółdzielczy w </w:t>
      </w:r>
      <w:r w:rsidR="006D633D">
        <w:rPr>
          <w:rFonts w:ascii="Garamond" w:hAnsi="Garamond"/>
          <w:sz w:val="24"/>
          <w:szCs w:val="24"/>
        </w:rPr>
        <w:t>Dzierzgoniu</w:t>
      </w:r>
      <w:r w:rsidRPr="00380E1F">
        <w:rPr>
          <w:rFonts w:ascii="Garamond" w:hAnsi="Garamond"/>
          <w:sz w:val="24"/>
          <w:szCs w:val="24"/>
        </w:rPr>
        <w:t xml:space="preserve"> działa wyłącznie w środowisku lokalnym na </w:t>
      </w:r>
      <w:r w:rsidRPr="001D0DEE">
        <w:rPr>
          <w:rFonts w:ascii="Garamond" w:hAnsi="Garamond"/>
          <w:sz w:val="24"/>
          <w:szCs w:val="24"/>
        </w:rPr>
        <w:t xml:space="preserve">terenie </w:t>
      </w:r>
      <w:r w:rsidR="006D633D" w:rsidRPr="001D0DEE">
        <w:rPr>
          <w:rFonts w:ascii="Garamond" w:hAnsi="Garamond"/>
          <w:sz w:val="24"/>
          <w:szCs w:val="24"/>
        </w:rPr>
        <w:t>województwa pomorskiego a także na terenie powiatu elbląskiego</w:t>
      </w:r>
      <w:r w:rsidRPr="001D0DEE">
        <w:rPr>
          <w:rFonts w:ascii="Garamond" w:hAnsi="Garamond"/>
          <w:sz w:val="24"/>
          <w:szCs w:val="24"/>
        </w:rPr>
        <w:t xml:space="preserve"> </w:t>
      </w:r>
      <w:r w:rsidRPr="00380E1F">
        <w:rPr>
          <w:rFonts w:ascii="Garamond" w:hAnsi="Garamond"/>
          <w:sz w:val="24"/>
          <w:szCs w:val="24"/>
        </w:rPr>
        <w:t>oferując produkty głównie konsumentom, niewielkim przedsiębiorcom oraz osobom prowadzącym działalność rolniczą, lub działalność innego rodzaju na szczeblu lokalnym</w:t>
      </w:r>
      <w:r w:rsidR="008D5158">
        <w:rPr>
          <w:rFonts w:ascii="Garamond" w:hAnsi="Garamond"/>
          <w:sz w:val="24"/>
          <w:szCs w:val="24"/>
        </w:rPr>
        <w:t>,</w:t>
      </w:r>
    </w:p>
    <w:p w14:paraId="40DA85A4" w14:textId="104F4E4E" w:rsidR="002A16E2" w:rsidRPr="00380E1F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>okoliczność, iż Bank realizuje strategię zrzeszenia i systemu ochrony</w:t>
      </w:r>
      <w:r w:rsidR="008D5158">
        <w:rPr>
          <w:rFonts w:ascii="Garamond" w:hAnsi="Garamond"/>
          <w:sz w:val="24"/>
          <w:szCs w:val="24"/>
        </w:rPr>
        <w:t>,</w:t>
      </w:r>
      <w:r w:rsidRPr="00380E1F">
        <w:rPr>
          <w:rFonts w:ascii="Garamond" w:hAnsi="Garamond"/>
          <w:sz w:val="24"/>
          <w:szCs w:val="24"/>
        </w:rPr>
        <w:t xml:space="preserve"> </w:t>
      </w:r>
    </w:p>
    <w:p w14:paraId="1A45A8D7" w14:textId="77777777" w:rsidR="002A16E2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 xml:space="preserve">okoliczność, iż Bank oferuje produkty kredytowe i depozytowe o nieznacznym stopniu złożoności, </w:t>
      </w:r>
    </w:p>
    <w:p w14:paraId="7D6B05C9" w14:textId="2CB3DDA5" w:rsidR="002A16E2" w:rsidRPr="001D0DEE" w:rsidRDefault="002A16E2" w:rsidP="0041628B">
      <w:pPr>
        <w:pStyle w:val="Akapitzlist"/>
        <w:numPr>
          <w:ilvl w:val="0"/>
          <w:numId w:val="2"/>
        </w:numPr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okoliczność, iż </w:t>
      </w:r>
      <w:r w:rsidRPr="00380E1F">
        <w:rPr>
          <w:rFonts w:ascii="Garamond" w:hAnsi="Garamond"/>
          <w:sz w:val="24"/>
          <w:szCs w:val="24"/>
        </w:rPr>
        <w:t xml:space="preserve">struktura organizacyjna obejmuje </w:t>
      </w:r>
      <w:r w:rsidR="006D633D">
        <w:rPr>
          <w:rFonts w:ascii="Garamond" w:hAnsi="Garamond"/>
          <w:sz w:val="24"/>
          <w:szCs w:val="24"/>
        </w:rPr>
        <w:t xml:space="preserve">trzy </w:t>
      </w:r>
      <w:r w:rsidRPr="00380E1F">
        <w:rPr>
          <w:rFonts w:ascii="Garamond" w:hAnsi="Garamond"/>
          <w:sz w:val="24"/>
          <w:szCs w:val="24"/>
        </w:rPr>
        <w:t xml:space="preserve">piony, liczba zatrudnianych pracowników wynosi </w:t>
      </w:r>
      <w:r w:rsidR="006D633D" w:rsidRPr="001D0DEE">
        <w:rPr>
          <w:rFonts w:ascii="Garamond" w:hAnsi="Garamond"/>
          <w:sz w:val="24"/>
          <w:szCs w:val="24"/>
        </w:rPr>
        <w:t>nie więcej niż 40 pracowników.</w:t>
      </w:r>
    </w:p>
    <w:p w14:paraId="0DC9ED61" w14:textId="275F60AF" w:rsidR="002A16E2" w:rsidRPr="00637339" w:rsidRDefault="002A16E2" w:rsidP="0041628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>Z uwagi na powyższe Bank Spółdzielczy, kierując się zasadą proporcjonalności wprowadza adekwatny do powyższych czynników</w:t>
      </w:r>
      <w:r>
        <w:rPr>
          <w:rFonts w:ascii="Garamond" w:hAnsi="Garamond"/>
          <w:sz w:val="24"/>
          <w:szCs w:val="24"/>
        </w:rPr>
        <w:t xml:space="preserve"> </w:t>
      </w:r>
      <w:r w:rsidRPr="00637339">
        <w:rPr>
          <w:rFonts w:ascii="Garamond" w:hAnsi="Garamond"/>
          <w:sz w:val="24"/>
          <w:szCs w:val="24"/>
        </w:rPr>
        <w:t xml:space="preserve">zbiór zasad określających relacje wewnętrzne </w:t>
      </w:r>
      <w:r w:rsidRPr="00637339">
        <w:rPr>
          <w:rFonts w:ascii="Garamond" w:hAnsi="Garamond"/>
          <w:sz w:val="24"/>
          <w:szCs w:val="24"/>
        </w:rPr>
        <w:br/>
        <w:t xml:space="preserve">i </w:t>
      </w:r>
      <w:r w:rsidR="0041628B" w:rsidRPr="00637339">
        <w:rPr>
          <w:rFonts w:ascii="Garamond" w:hAnsi="Garamond"/>
          <w:sz w:val="24"/>
          <w:szCs w:val="24"/>
        </w:rPr>
        <w:t>zewnętrzne Banku</w:t>
      </w:r>
      <w:r w:rsidRPr="00637339">
        <w:rPr>
          <w:rFonts w:ascii="Garamond" w:hAnsi="Garamond"/>
          <w:sz w:val="24"/>
          <w:szCs w:val="24"/>
        </w:rPr>
        <w:t xml:space="preserve">  w tym relacje z udziałowcami Banku i klientami, organizację, funkcjonowanie nadzoru wewnętrznego oraz kluczowych systemów i funkcji wewnętrznych, a także organów statutowych i zasad ich współdziałania. </w:t>
      </w:r>
    </w:p>
    <w:p w14:paraId="16A4515F" w14:textId="77777777" w:rsidR="002A16E2" w:rsidRPr="00637339" w:rsidRDefault="002A16E2" w:rsidP="0041628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 xml:space="preserve">W treści niniejszego dokumentu wyszczególnione zostały zasady stosowane przez Bank oraz te do stosowania których Bank zobowiązuje się. </w:t>
      </w:r>
    </w:p>
    <w:p w14:paraId="38D266A7" w14:textId="7777777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AB8F6E5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 xml:space="preserve"> </w:t>
      </w:r>
    </w:p>
    <w:p w14:paraId="24E4B46A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</w:p>
    <w:p w14:paraId="74EA1ED8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br w:type="page"/>
      </w:r>
      <w:r w:rsidRPr="00637339">
        <w:rPr>
          <w:rFonts w:ascii="Garamond" w:hAnsi="Garamond"/>
          <w:sz w:val="24"/>
          <w:szCs w:val="24"/>
        </w:rPr>
        <w:lastRenderedPageBreak/>
        <w:t xml:space="preserve"> </w:t>
      </w:r>
    </w:p>
    <w:p w14:paraId="54AE4A9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637339">
        <w:rPr>
          <w:rFonts w:ascii="Garamond" w:hAnsi="Garamond"/>
          <w:b/>
          <w:sz w:val="24"/>
          <w:szCs w:val="24"/>
        </w:rPr>
        <w:t>Rozdział 1</w:t>
      </w:r>
    </w:p>
    <w:p w14:paraId="3D70621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Definicje </w:t>
      </w:r>
    </w:p>
    <w:p w14:paraId="1B6FE10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E1886C3" w14:textId="77777777" w:rsidR="002A16E2" w:rsidRDefault="002A16E2" w:rsidP="005447E2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b/>
          <w:sz w:val="24"/>
          <w:szCs w:val="24"/>
        </w:rPr>
      </w:pPr>
    </w:p>
    <w:p w14:paraId="7DF6A9AC" w14:textId="299B9887" w:rsidR="002A16E2" w:rsidRPr="007237F6" w:rsidRDefault="002A16E2" w:rsidP="007237F6">
      <w:pPr>
        <w:spacing w:line="276" w:lineRule="auto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Użyte w niniejszej Regulacji pojęcia oznaczają: </w:t>
      </w:r>
    </w:p>
    <w:p w14:paraId="7AD82C95" w14:textId="4EEB5A05" w:rsidR="00564BED" w:rsidRPr="007237F6" w:rsidRDefault="002A16E2" w:rsidP="0041628B">
      <w:pPr>
        <w:pStyle w:val="Akapitzlist"/>
        <w:numPr>
          <w:ilvl w:val="2"/>
          <w:numId w:val="3"/>
        </w:numPr>
        <w:ind w:left="567" w:hanging="425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Bank – Bank Spółdzielczy w </w:t>
      </w:r>
      <w:r w:rsidR="006D633D">
        <w:rPr>
          <w:rFonts w:ascii="Garamond" w:eastAsia="CIDFont+F5" w:hAnsi="Garamond" w:cs="CIDFont+F3"/>
          <w:sz w:val="24"/>
          <w:szCs w:val="24"/>
        </w:rPr>
        <w:t>Dzierzgoniu;</w:t>
      </w:r>
    </w:p>
    <w:p w14:paraId="52334F22" w14:textId="4FF087AD" w:rsidR="00564BED" w:rsidRPr="007237F6" w:rsidRDefault="002A16E2" w:rsidP="006D633D">
      <w:pPr>
        <w:pStyle w:val="Akapitzlist"/>
        <w:numPr>
          <w:ilvl w:val="2"/>
          <w:numId w:val="3"/>
        </w:numPr>
        <w:spacing w:after="0"/>
        <w:ind w:left="567" w:hanging="425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Zrzeszający – SGB Bank S.A</w:t>
      </w:r>
      <w:r w:rsidR="00984DD5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</w:t>
      </w:r>
    </w:p>
    <w:p w14:paraId="156FA0B3" w14:textId="604F9309" w:rsidR="00564BED" w:rsidRPr="007237F6" w:rsidRDefault="002A16E2" w:rsidP="006D633D">
      <w:pPr>
        <w:numPr>
          <w:ilvl w:val="2"/>
          <w:numId w:val="3"/>
        </w:numPr>
        <w:spacing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Cz</w:t>
      </w:r>
      <w:r w:rsidRPr="007237F6">
        <w:rPr>
          <w:rFonts w:ascii="Garamond" w:eastAsia="CIDFont+F5" w:hAnsi="Garamond" w:cs="Tahoma"/>
          <w:sz w:val="24"/>
          <w:szCs w:val="24"/>
        </w:rPr>
        <w:t>ł</w:t>
      </w:r>
      <w:r w:rsidRPr="007237F6">
        <w:rPr>
          <w:rFonts w:ascii="Garamond" w:eastAsia="CIDFont+F5" w:hAnsi="Garamond" w:cs="CIDFont+F3"/>
          <w:sz w:val="24"/>
          <w:szCs w:val="24"/>
        </w:rPr>
        <w:t xml:space="preserve">onek Rady Nadzorczej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cz</w:t>
      </w:r>
      <w:r w:rsidRPr="007237F6">
        <w:rPr>
          <w:rFonts w:ascii="Garamond" w:eastAsia="CIDFont+F5" w:hAnsi="Garamond" w:cs="Tahoma"/>
          <w:sz w:val="24"/>
          <w:szCs w:val="24"/>
        </w:rPr>
        <w:t>ł</w:t>
      </w:r>
      <w:r w:rsidRPr="007237F6">
        <w:rPr>
          <w:rFonts w:ascii="Garamond" w:eastAsia="CIDFont+F5" w:hAnsi="Garamond" w:cs="CIDFont+F2"/>
          <w:sz w:val="24"/>
          <w:szCs w:val="24"/>
        </w:rPr>
        <w:t>onek Rady Nadzorczej Banku Spółdzielczego w </w:t>
      </w:r>
      <w:r w:rsidR="006D633D">
        <w:rPr>
          <w:rFonts w:ascii="Garamond" w:eastAsia="CIDFont+F5" w:hAnsi="Garamond" w:cs="CIDFont+F2"/>
          <w:sz w:val="24"/>
          <w:szCs w:val="24"/>
        </w:rPr>
        <w:t>Dzierzgoniu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7674A23B" w14:textId="48F793F0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KNF – Komisja Nadzoru Finansowego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73809BE7" w14:textId="5CF32739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Kwalifikacje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wykszta</w:t>
      </w:r>
      <w:r w:rsidRPr="007237F6">
        <w:rPr>
          <w:rFonts w:ascii="Garamond" w:eastAsia="CIDFont+F5" w:hAnsi="Garamond" w:cs="Tahoma"/>
          <w:sz w:val="24"/>
          <w:szCs w:val="24"/>
        </w:rPr>
        <w:t>ł</w:t>
      </w:r>
      <w:r w:rsidRPr="007237F6">
        <w:rPr>
          <w:rFonts w:ascii="Garamond" w:eastAsia="CIDFont+F5" w:hAnsi="Garamond" w:cs="CIDFont+F2"/>
          <w:sz w:val="24"/>
          <w:szCs w:val="24"/>
        </w:rPr>
        <w:t>cenie, wiedza, umiej</w:t>
      </w:r>
      <w:r w:rsidRPr="007237F6">
        <w:rPr>
          <w:rFonts w:ascii="Garamond" w:eastAsia="CIDFont+F5" w:hAnsi="Garamond" w:cs="Tahoma"/>
          <w:sz w:val="24"/>
          <w:szCs w:val="24"/>
        </w:rPr>
        <w:t>ę</w:t>
      </w:r>
      <w:r w:rsidRPr="007237F6">
        <w:rPr>
          <w:rFonts w:ascii="Garamond" w:eastAsia="CIDFont+F5" w:hAnsi="Garamond" w:cs="CIDFont+F2"/>
          <w:sz w:val="24"/>
          <w:szCs w:val="24"/>
        </w:rPr>
        <w:t>tno</w:t>
      </w:r>
      <w:r w:rsidRPr="007237F6">
        <w:rPr>
          <w:rFonts w:ascii="Garamond" w:eastAsia="CIDFont+F5" w:hAnsi="Garamond" w:cs="Tahoma"/>
          <w:sz w:val="24"/>
          <w:szCs w:val="24"/>
        </w:rPr>
        <w:t>ś</w:t>
      </w:r>
      <w:r w:rsidRPr="007237F6">
        <w:rPr>
          <w:rFonts w:ascii="Garamond" w:eastAsia="CIDFont+F5" w:hAnsi="Garamond" w:cs="CIDFont+F2"/>
          <w:sz w:val="24"/>
          <w:szCs w:val="24"/>
        </w:rPr>
        <w:t>ci i do</w:t>
      </w:r>
      <w:r w:rsidRPr="007237F6">
        <w:rPr>
          <w:rFonts w:ascii="Garamond" w:eastAsia="CIDFont+F5" w:hAnsi="Garamond" w:cs="Tahoma"/>
          <w:sz w:val="24"/>
          <w:szCs w:val="24"/>
        </w:rPr>
        <w:t>ś</w:t>
      </w:r>
      <w:r w:rsidRPr="007237F6">
        <w:rPr>
          <w:rFonts w:ascii="Garamond" w:eastAsia="CIDFont+F5" w:hAnsi="Garamond" w:cs="CIDFont+F2"/>
          <w:sz w:val="24"/>
          <w:szCs w:val="24"/>
        </w:rPr>
        <w:t>wiadczenie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27E9F178" w14:textId="61CF7B89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Kierownik komórki kontroli wewnętrznej 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osoba na najwyższym szczeblu hierarchii odpowiedzialna za skuteczne zarządzanie codziennym funkcjonowaniem niezależnych komórek ds. zarządzania ryzykiem oraz komórki ds. zgodności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54E14882" w14:textId="77349B3B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Kultura ryzyka 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obowiązujące w Banku normy, postawy i zachowania odnoszące się do świadomości ryzyka, podejmowania przez Bank ryzyka oraz zarządzania ryzykiem, a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także mechanizmów kontrolnych kształtujących decyzje dotyczące ryzyka, wypływające na decyzje podejmowane przez kierownictwo i pracowników w trakcie bieżącej działalności oraz mające wpływ na podejmowane przez nich ryzyko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61A77ABE" w14:textId="38342B5B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Niezależność osądu – wzorzec zachowania, przejawiający się w szczególności podczas dyskusji oraz podejmowania decyzji w ramach organów zarządzających, wymagany od każdego członka organu zarządzającego, bez względu na to, czy uważa się go za „będącego niezależnym”, mający zapewnić aktywne zaangażowanie w obowiązki, podejmowanie własnych, rozsądnych, obiektywnych i niezależnych decyzji i opinii przy wykonywaniu funkcji i obowiązków członka organu zarządzającego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711CAADB" w14:textId="447024E4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Osoby pełniące najważniejsze funkcje – osoby mające znaczący wpływ na kierunek działania Banku, ale niebędące członkami Zarządu, w tym: osoby kierujące komórką ds. kontroli wewnętrznej, a także inne osoby pełniące najważniejsze funkcje, jeżeli zostały one zidentyfikowane przez instytucje w wyniku analizy ryzyka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73D3799C" w14:textId="77777777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Pracownicy – wszyscy pracownicy Banku oraz wszyscy członkowie Zarządu i Rady Nadzorczej,</w:t>
      </w:r>
    </w:p>
    <w:p w14:paraId="12ED3ECD" w14:textId="1D4408B6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Prawo bankowe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Ustawa z dnia 29 sierpnia 1997 r. Prawo bankowe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328EEBF5" w14:textId="142D7477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Rada Nadzorcza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Rada Nadzorcza Banku Spółdzielczego w </w:t>
      </w:r>
      <w:r w:rsidR="006C62DB">
        <w:rPr>
          <w:rFonts w:ascii="Garamond" w:eastAsia="CIDFont+F5" w:hAnsi="Garamond" w:cs="CIDFont+F2"/>
          <w:sz w:val="24"/>
          <w:szCs w:val="24"/>
        </w:rPr>
        <w:t>Dzierzgoniu</w:t>
      </w:r>
      <w:r w:rsidR="006F6248">
        <w:rPr>
          <w:rFonts w:ascii="Garamond" w:eastAsia="CIDFont+F5" w:hAnsi="Garamond" w:cs="CIDFont+F2"/>
          <w:sz w:val="24"/>
          <w:szCs w:val="24"/>
        </w:rPr>
        <w:t>, organ zarządzający pełniący funkcję kontrolną</w:t>
      </w:r>
      <w:r w:rsidR="0043051F">
        <w:rPr>
          <w:rFonts w:ascii="Garamond" w:eastAsia="CIDFont+F5" w:hAnsi="Garamond" w:cs="CIDFont+F2"/>
          <w:sz w:val="24"/>
          <w:szCs w:val="24"/>
        </w:rPr>
        <w:t xml:space="preserve"> (niewykonawczą)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2FFED34C" w14:textId="060D670F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Rynek lokalny – teren działania  banku, określony granicami kraju/ województwa/powiatu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5DFCD46A" w14:textId="14810F6D" w:rsidR="00564BED" w:rsidRPr="00CE78D2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Skłonność do podejmowania ryzyka – łączny poziom i rodzaje ryzyka, jakie Bank jest skłonny podejmować w ramach swojej zdolności do ponoszenia ryzyka, zgodnie z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modelem działalności, w celu realizacji swoich celów strategicznych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70E787C8" w14:textId="363993C0" w:rsidR="00CE78D2" w:rsidRPr="007237F6" w:rsidRDefault="00CE78D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eastAsia="CIDFont+F5" w:hAnsi="Garamond" w:cs="CIDFont+F2"/>
          <w:sz w:val="24"/>
          <w:szCs w:val="24"/>
        </w:rPr>
        <w:t>Udziałowiec Banku – członek Banku posiadający udziały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476DBD20" w14:textId="2C7FE902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Wytyczne EBA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Wytyczne Europejskiego Urz</w:t>
      </w:r>
      <w:r w:rsidRPr="007237F6">
        <w:rPr>
          <w:rFonts w:ascii="Garamond" w:eastAsia="CIDFont+F5" w:hAnsi="Garamond" w:cs="Tahoma"/>
          <w:sz w:val="24"/>
          <w:szCs w:val="24"/>
        </w:rPr>
        <w:t>ę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du Nadzoru Bankowego z dnia </w:t>
      </w:r>
      <w:r w:rsidRPr="007237F6">
        <w:rPr>
          <w:rFonts w:ascii="Garamond" w:hAnsi="Garamond" w:cs="CIDFont+F2"/>
          <w:sz w:val="24"/>
          <w:szCs w:val="24"/>
        </w:rPr>
        <w:t>21</w:t>
      </w:r>
      <w:r w:rsidR="00925E36">
        <w:rPr>
          <w:rFonts w:ascii="Garamond" w:hAnsi="Garamond" w:cs="CIDFont+F2"/>
          <w:sz w:val="24"/>
          <w:szCs w:val="24"/>
        </w:rPr>
        <w:t> </w:t>
      </w:r>
      <w:r w:rsidRPr="007237F6">
        <w:rPr>
          <w:rFonts w:ascii="Garamond" w:hAnsi="Garamond" w:cs="CIDFont+F2"/>
          <w:sz w:val="24"/>
          <w:szCs w:val="24"/>
        </w:rPr>
        <w:t xml:space="preserve">marca 2018 r. </w:t>
      </w:r>
      <w:r w:rsidRPr="007237F6">
        <w:rPr>
          <w:rFonts w:ascii="Garamond" w:hAnsi="Garamond"/>
          <w:sz w:val="24"/>
          <w:szCs w:val="24"/>
        </w:rPr>
        <w:t>w sprawie zarządzania wewnętrznego</w:t>
      </w:r>
      <w:r w:rsidR="002450C7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</w:t>
      </w:r>
    </w:p>
    <w:p w14:paraId="57FD4D90" w14:textId="6F1F94CB" w:rsidR="00564BED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Zarz</w:t>
      </w:r>
      <w:r w:rsidRPr="007237F6">
        <w:rPr>
          <w:rFonts w:ascii="Garamond" w:eastAsia="CIDFont+F5" w:hAnsi="Garamond" w:cs="Tahoma"/>
          <w:sz w:val="24"/>
          <w:szCs w:val="24"/>
        </w:rPr>
        <w:t>ą</w:t>
      </w:r>
      <w:r w:rsidRPr="007237F6">
        <w:rPr>
          <w:rFonts w:ascii="Garamond" w:eastAsia="CIDFont+F5" w:hAnsi="Garamond" w:cs="CIDFont+F3"/>
          <w:sz w:val="24"/>
          <w:szCs w:val="24"/>
        </w:rPr>
        <w:t xml:space="preserve">d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Zarz</w:t>
      </w:r>
      <w:r w:rsidRPr="007237F6">
        <w:rPr>
          <w:rFonts w:ascii="Garamond" w:eastAsia="CIDFont+F5" w:hAnsi="Garamond" w:cs="Tahoma"/>
          <w:sz w:val="24"/>
          <w:szCs w:val="24"/>
        </w:rPr>
        <w:t>ą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d Banku Spółdzielczego w </w:t>
      </w:r>
      <w:r w:rsidR="006C62DB">
        <w:rPr>
          <w:rFonts w:ascii="Garamond" w:eastAsia="CIDFont+F5" w:hAnsi="Garamond" w:cs="CIDFont+F2"/>
          <w:sz w:val="24"/>
          <w:szCs w:val="24"/>
        </w:rPr>
        <w:t>Dzierzgoniu</w:t>
      </w:r>
      <w:r w:rsidR="006F6248">
        <w:rPr>
          <w:rFonts w:ascii="Garamond" w:eastAsia="CIDFont+F5" w:hAnsi="Garamond" w:cs="CIDFont+F2"/>
          <w:sz w:val="24"/>
          <w:szCs w:val="24"/>
        </w:rPr>
        <w:t>, organ zarządzający pełniący funkcję wykonawczą</w:t>
      </w:r>
      <w:r w:rsidR="002450C7">
        <w:rPr>
          <w:rFonts w:ascii="Garamond" w:eastAsia="CIDFont+F5" w:hAnsi="Garamond" w:cs="CIDFont+F2"/>
          <w:sz w:val="24"/>
          <w:szCs w:val="24"/>
        </w:rPr>
        <w:t>,</w:t>
      </w:r>
    </w:p>
    <w:p w14:paraId="2B957E75" w14:textId="169EE6C4" w:rsidR="002A16E2" w:rsidRPr="007237F6" w:rsidRDefault="002A16E2" w:rsidP="0041628B">
      <w:pPr>
        <w:numPr>
          <w:ilvl w:val="2"/>
          <w:numId w:val="3"/>
        </w:numPr>
        <w:spacing w:after="200" w:line="276" w:lineRule="auto"/>
        <w:ind w:left="567" w:hanging="425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Zdolność do ponoszenia ryzyka 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maksymalny poziom ryzyka, jaki instytucja jest w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stanie przyjąć, biorąc pod uwagę jej bazę kapitałową, możliwości zarządzania ryzykiem i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mechanizmy kontrolne oraz ograniczenia regulac</w:t>
      </w:r>
      <w:r w:rsidR="00564BED" w:rsidRPr="007237F6">
        <w:rPr>
          <w:rFonts w:ascii="Garamond" w:eastAsia="CIDFont+F5" w:hAnsi="Garamond" w:cs="CIDFont+F2"/>
          <w:sz w:val="24"/>
          <w:szCs w:val="24"/>
        </w:rPr>
        <w:t>y</w:t>
      </w:r>
      <w:r w:rsidRPr="007237F6">
        <w:rPr>
          <w:rFonts w:ascii="Garamond" w:eastAsia="CIDFont+F5" w:hAnsi="Garamond" w:cs="CIDFont+F2"/>
          <w:sz w:val="24"/>
          <w:szCs w:val="24"/>
        </w:rPr>
        <w:t>jne</w:t>
      </w:r>
      <w:r w:rsidR="002450C7">
        <w:rPr>
          <w:rFonts w:ascii="Garamond" w:eastAsia="CIDFont+F5" w:hAnsi="Garamond" w:cs="CIDFont+F2"/>
          <w:sz w:val="24"/>
          <w:szCs w:val="24"/>
        </w:rPr>
        <w:t>.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</w:t>
      </w:r>
    </w:p>
    <w:p w14:paraId="0BEDF97F" w14:textId="77777777" w:rsidR="002A16E2" w:rsidRPr="007237F6" w:rsidRDefault="002A16E2" w:rsidP="001C04EB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299C3439" w14:textId="77777777" w:rsidR="006C62DB" w:rsidRDefault="006C62DB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389266C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2</w:t>
      </w:r>
    </w:p>
    <w:p w14:paraId="7F93DA4B" w14:textId="7B1DDFAD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Organizacja</w:t>
      </w:r>
      <w:r w:rsidR="007237F6">
        <w:rPr>
          <w:rFonts w:ascii="Garamond" w:hAnsi="Garamond"/>
          <w:b/>
          <w:sz w:val="24"/>
          <w:szCs w:val="24"/>
        </w:rPr>
        <w:t xml:space="preserve"> Banku</w:t>
      </w:r>
      <w:r w:rsidRPr="007237F6">
        <w:rPr>
          <w:rFonts w:ascii="Garamond" w:hAnsi="Garamond"/>
          <w:b/>
          <w:sz w:val="24"/>
          <w:szCs w:val="24"/>
        </w:rPr>
        <w:t xml:space="preserve"> i struktura organizacyjna</w:t>
      </w:r>
    </w:p>
    <w:p w14:paraId="662A6003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2B23B2B" w14:textId="77777777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0A949F90" w14:textId="77777777" w:rsidR="00564BED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umożliwia osiąganie długoterminowych celów prowadzonej działalności. </w:t>
      </w:r>
    </w:p>
    <w:p w14:paraId="02BA20F9" w14:textId="77777777" w:rsidR="00564BED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obejmuje zarządzanie i sprawowanie kontroli, systemy sprawozdawczości wewnętrznej, przepływu i ochrony informacji oraz obiegu dokumentów, co zostało należycie uregulowane w odpowiednich regulacjach wewnętrznych. </w:t>
      </w:r>
    </w:p>
    <w:p w14:paraId="398FA9C5" w14:textId="77777777" w:rsidR="00564BED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znajduje odzwierciedlenie w strukturze organizacyjnej.</w:t>
      </w:r>
    </w:p>
    <w:p w14:paraId="5770B36D" w14:textId="7F673031" w:rsidR="002A16E2" w:rsidRPr="005447E2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zapewnia jawność struktury organizacyjnej uregulowanej w regulacjach wewnętrznych tej struktury, poprzez zamieszczenie przynajmniej podstawowej struktury organizacyjnej  na stronie internetowej:  </w:t>
      </w:r>
      <w:hyperlink r:id="rId9" w:history="1">
        <w:r w:rsidR="006C62DB" w:rsidRPr="00F629D1">
          <w:rPr>
            <w:rStyle w:val="Hipercze"/>
            <w:rFonts w:ascii="Garamond" w:hAnsi="Garamond"/>
            <w:sz w:val="24"/>
            <w:szCs w:val="24"/>
          </w:rPr>
          <w:t>www.bsdzierzgon.pl</w:t>
        </w:r>
      </w:hyperlink>
      <w:r w:rsidR="006C62DB">
        <w:rPr>
          <w:rFonts w:ascii="Garamond" w:hAnsi="Garamond"/>
          <w:sz w:val="24"/>
          <w:szCs w:val="24"/>
        </w:rPr>
        <w:t xml:space="preserve"> </w:t>
      </w:r>
    </w:p>
    <w:p w14:paraId="2A95810A" w14:textId="77777777" w:rsidR="005447E2" w:rsidRPr="007237F6" w:rsidRDefault="005447E2" w:rsidP="005447E2">
      <w:pPr>
        <w:pStyle w:val="Akapitzlist"/>
        <w:ind w:left="567"/>
        <w:jc w:val="both"/>
        <w:rPr>
          <w:rFonts w:ascii="Garamond" w:hAnsi="Garamond"/>
          <w:b/>
          <w:sz w:val="24"/>
          <w:szCs w:val="24"/>
        </w:rPr>
      </w:pPr>
    </w:p>
    <w:p w14:paraId="19A043C7" w14:textId="77777777" w:rsidR="00564BED" w:rsidRPr="007237F6" w:rsidRDefault="00564BED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3454E157" w14:textId="77777777" w:rsidR="00564BED" w:rsidRPr="007237F6" w:rsidRDefault="002A16E2" w:rsidP="0041628B">
      <w:pPr>
        <w:pStyle w:val="Akapitzlist"/>
        <w:numPr>
          <w:ilvl w:val="1"/>
          <w:numId w:val="1"/>
        </w:numPr>
        <w:tabs>
          <w:tab w:val="clear" w:pos="2148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przejrzystą oraz adekwatną do skali i charakteru prowadzonej działalności oraz podejmowanego ryzyka strukturę organizacyjną, w której podległość służbowa, zadania oraz zakres obowiązków i odpowiedzialności są wyraźnie przypisane i odpowiednio podzielone. </w:t>
      </w:r>
    </w:p>
    <w:p w14:paraId="37559B5A" w14:textId="5E3C7847" w:rsidR="002A16E2" w:rsidRPr="007237F6" w:rsidRDefault="002A16E2" w:rsidP="0041628B">
      <w:pPr>
        <w:pStyle w:val="Akapitzlist"/>
        <w:numPr>
          <w:ilvl w:val="1"/>
          <w:numId w:val="1"/>
        </w:numPr>
        <w:tabs>
          <w:tab w:val="clear" w:pos="2148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Struktura organizacyjna obejmuje i odzwierciedla cały obszar działalności Banku  wyraźnie wyodrębniając każdą kluczową funkcję w obrębie wykonywanych zadań</w:t>
      </w:r>
      <w:r w:rsidR="007237F6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przez co przyczynia się do zapewnienia oraz wykazania skutecznego i ostrożnego zarządzania Bankiem. Dotyczy to zarówno podziału zadań jak i odpowiedzialności pomiędzy członków Zarządu Banku,  a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także podziału zadań i odpowiedzialności pomiędzy komórki organizacyjne centrali, jednostki </w:t>
      </w:r>
      <w:r w:rsidR="006F6248">
        <w:rPr>
          <w:rFonts w:ascii="Garamond" w:hAnsi="Garamond"/>
          <w:sz w:val="24"/>
          <w:szCs w:val="24"/>
        </w:rPr>
        <w:t>organizacyjne</w:t>
      </w:r>
      <w:r w:rsidRPr="007237F6">
        <w:rPr>
          <w:rFonts w:ascii="Garamond" w:hAnsi="Garamond"/>
          <w:sz w:val="24"/>
          <w:szCs w:val="24"/>
        </w:rPr>
        <w:t xml:space="preserve"> oraz poszczególne stanowiska albo</w:t>
      </w:r>
      <w:r w:rsidR="006F6248">
        <w:rPr>
          <w:rFonts w:ascii="Garamond" w:hAnsi="Garamond"/>
          <w:sz w:val="24"/>
          <w:szCs w:val="24"/>
        </w:rPr>
        <w:t xml:space="preserve"> zespoły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6A358FE1" w14:textId="453EAB81" w:rsidR="002A16E2" w:rsidRPr="007237F6" w:rsidRDefault="002A16E2" w:rsidP="0041628B">
      <w:pPr>
        <w:pStyle w:val="Akapitzlist"/>
        <w:numPr>
          <w:ilvl w:val="1"/>
          <w:numId w:val="1"/>
        </w:numPr>
        <w:tabs>
          <w:tab w:val="clear" w:pos="2148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Struktura organizacyjna Banku została określona w taki sposób, by nie zachodziły wątpliwości co do zakresu zadań i odpowiedzialności odpowiednich komórek organizacyjnych, jednostek </w:t>
      </w:r>
      <w:r w:rsidR="006F6248">
        <w:rPr>
          <w:rFonts w:ascii="Garamond" w:hAnsi="Garamond"/>
          <w:sz w:val="24"/>
          <w:szCs w:val="24"/>
        </w:rPr>
        <w:t>organizac</w:t>
      </w:r>
      <w:r w:rsidRPr="007237F6">
        <w:rPr>
          <w:rFonts w:ascii="Garamond" w:hAnsi="Garamond"/>
          <w:sz w:val="24"/>
          <w:szCs w:val="24"/>
        </w:rPr>
        <w:t>y</w:t>
      </w:r>
      <w:r w:rsidR="006F6248">
        <w:rPr>
          <w:rFonts w:ascii="Garamond" w:hAnsi="Garamond"/>
          <w:sz w:val="24"/>
          <w:szCs w:val="24"/>
        </w:rPr>
        <w:t>jny</w:t>
      </w:r>
      <w:r w:rsidRPr="007237F6">
        <w:rPr>
          <w:rFonts w:ascii="Garamond" w:hAnsi="Garamond"/>
          <w:sz w:val="24"/>
          <w:szCs w:val="24"/>
        </w:rPr>
        <w:t>ch i 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Pr="007237F6">
        <w:rPr>
          <w:rFonts w:ascii="Garamond" w:hAnsi="Garamond"/>
          <w:sz w:val="24"/>
          <w:szCs w:val="24"/>
        </w:rPr>
        <w:t xml:space="preserve">, a zwłaszcza, by nie dochodziło do nakładania się na siebie obowiązków i odpowiedzialności komórek organizacyjnych, jednostek </w:t>
      </w:r>
      <w:r w:rsidR="006F6248">
        <w:rPr>
          <w:rFonts w:ascii="Garamond" w:hAnsi="Garamond"/>
          <w:sz w:val="24"/>
          <w:szCs w:val="24"/>
        </w:rPr>
        <w:t xml:space="preserve">organizacyjnych </w:t>
      </w:r>
      <w:r w:rsidRPr="007237F6">
        <w:rPr>
          <w:rFonts w:ascii="Garamond" w:hAnsi="Garamond"/>
          <w:sz w:val="24"/>
          <w:szCs w:val="24"/>
        </w:rPr>
        <w:t>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3DD8FD2" w14:textId="6BBBA0A4" w:rsidR="0066089A" w:rsidRDefault="002A16E2" w:rsidP="0041628B">
      <w:pPr>
        <w:pStyle w:val="Akapitzlist"/>
        <w:numPr>
          <w:ilvl w:val="1"/>
          <w:numId w:val="1"/>
        </w:numPr>
        <w:tabs>
          <w:tab w:val="clear" w:pos="2148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Struktura Banku nie utrudnia nadzoru nad ryzykiem oraz skutecznego zarządzania ryzykiem, ani także skutecznego nadzorowania instytucji</w:t>
      </w:r>
      <w:r w:rsidR="00564BED" w:rsidRPr="007237F6">
        <w:rPr>
          <w:rFonts w:ascii="Garamond" w:hAnsi="Garamond"/>
          <w:sz w:val="24"/>
          <w:szCs w:val="24"/>
        </w:rPr>
        <w:t>.</w:t>
      </w:r>
    </w:p>
    <w:p w14:paraId="180EA1E0" w14:textId="77777777" w:rsidR="005447E2" w:rsidRPr="007237F6" w:rsidRDefault="005447E2" w:rsidP="005447E2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5E3200B" w14:textId="77777777" w:rsidR="002A16E2" w:rsidRPr="007237F6" w:rsidRDefault="002A16E2" w:rsidP="0041628B">
      <w:pPr>
        <w:pStyle w:val="Akapitzlist"/>
        <w:numPr>
          <w:ilvl w:val="0"/>
          <w:numId w:val="3"/>
        </w:numPr>
        <w:ind w:left="0" w:firstLine="567"/>
        <w:jc w:val="center"/>
        <w:rPr>
          <w:rFonts w:ascii="Garamond" w:hAnsi="Garamond"/>
          <w:sz w:val="24"/>
          <w:szCs w:val="24"/>
        </w:rPr>
      </w:pPr>
    </w:p>
    <w:p w14:paraId="7550F4AC" w14:textId="69A8B43D" w:rsidR="002A16E2" w:rsidRPr="007237F6" w:rsidRDefault="002A16E2" w:rsidP="0041628B">
      <w:pPr>
        <w:pStyle w:val="Akapitzlist"/>
        <w:ind w:left="0"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przestrzega wymogów wynikających z przepisów prawa oraz uwzględnia rekomendacje nadzorcze wydane przez odpowiednie organy nadzoru, w szczególności przez KNF oraz EBA (European Banking Authority), a także zobowiązania lub deklaracje składane wobec organów nadzoru oraz uwzględnia indywidualne zalecenia wydane przez organy nadzoru</w:t>
      </w:r>
      <w:r w:rsidR="006F6248">
        <w:rPr>
          <w:rFonts w:ascii="Garamond" w:hAnsi="Garamond"/>
          <w:sz w:val="24"/>
          <w:szCs w:val="24"/>
        </w:rPr>
        <w:t xml:space="preserve"> oraz cele strategiczne Zrzeszenia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3DC770E8" w14:textId="183AD08F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7434907" w14:textId="77777777" w:rsidR="0066089A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określa własne cele strategiczne przy uwzględnieniu charakteru oraz skali prowadzonej działalności. </w:t>
      </w:r>
    </w:p>
    <w:p w14:paraId="01F08FCE" w14:textId="3597291F" w:rsidR="001C04EB" w:rsidRPr="006C62DB" w:rsidRDefault="002A16E2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umożliwia osiąganie zakładanych strategicznych celów z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uwzględnieniem konieczności efektywnego monitorowania ryzyka występującego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jego działalności. </w:t>
      </w:r>
    </w:p>
    <w:p w14:paraId="03114FB9" w14:textId="77777777" w:rsidR="006C62DB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umożliwia niezwłoczne podejmowanie odpowiednich działań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sytuacjach nagłych, gdy konieczne jest odstąpienie lub nie jest możliwe realizowanie przyjętych celów strategicznych z powodu nieoczekiwanych zmian w otoczeniu gospodarczym lub prawnym Banku albo, gdy dalsza realizacja przyjętych celów może prowadzić do naruszenia norm </w:t>
      </w:r>
    </w:p>
    <w:p w14:paraId="1BF8D508" w14:textId="77777777" w:rsidR="006C62DB" w:rsidRDefault="006C62DB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73C6A5A5" w14:textId="4A2C2E4B" w:rsidR="0066089A" w:rsidRPr="007237F6" w:rsidRDefault="002A16E2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określonych regulacjami dotyczącymi prowadzenia działalności przez Bank lub ustalonych zasad postępowania. </w:t>
      </w:r>
    </w:p>
    <w:p w14:paraId="26CDAC6B" w14:textId="77777777" w:rsidR="002A16E2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zapewnia, że: </w:t>
      </w:r>
    </w:p>
    <w:p w14:paraId="3B5C59EA" w14:textId="77777777" w:rsidR="002A16E2" w:rsidRPr="007237F6" w:rsidRDefault="002A16E2" w:rsidP="0041628B">
      <w:pPr>
        <w:pStyle w:val="Akapitzlist"/>
        <w:numPr>
          <w:ilvl w:val="2"/>
          <w:numId w:val="4"/>
        </w:numPr>
        <w:tabs>
          <w:tab w:val="clear" w:pos="2160"/>
          <w:tab w:val="num" w:pos="1843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wykonywanie zadań z zakresu działalności Banku jest powierzane osobom posiadającym niezbędną wiedzę i umiejętności, nad którymi nadzór sprawują osoby posiadające także odpowiednie doświadczenie,</w:t>
      </w:r>
    </w:p>
    <w:p w14:paraId="60F24610" w14:textId="77777777" w:rsidR="002A16E2" w:rsidRPr="007237F6" w:rsidRDefault="002A16E2" w:rsidP="0041628B">
      <w:pPr>
        <w:pStyle w:val="Akapitzlist"/>
        <w:numPr>
          <w:ilvl w:val="2"/>
          <w:numId w:val="4"/>
        </w:numPr>
        <w:tabs>
          <w:tab w:val="clear" w:pos="2160"/>
          <w:tab w:val="num" w:pos="1843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przy określaniu zakresu powierzanych zadań brana jest pod uwagę możliwość właściwego 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rzetelnego wykonania tych zadań na danym stanowisku, </w:t>
      </w:r>
    </w:p>
    <w:p w14:paraId="4976CEC5" w14:textId="04C98952" w:rsidR="0066089A" w:rsidRDefault="002A16E2" w:rsidP="0041628B">
      <w:pPr>
        <w:pStyle w:val="Akapitzlist"/>
        <w:numPr>
          <w:ilvl w:val="2"/>
          <w:numId w:val="4"/>
        </w:numPr>
        <w:tabs>
          <w:tab w:val="clear" w:pos="2160"/>
          <w:tab w:val="num" w:pos="1843"/>
        </w:tabs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prawa pracowników są należycie chronione, a ich interesy należycie uwzględniane,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szczególności poprzez stosowanie przejrzystych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obiektywnych zasad zatrudniania 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wynagradzania, oceny, a także nagradzania i awansu zawodowego. </w:t>
      </w:r>
    </w:p>
    <w:p w14:paraId="42A5BFCB" w14:textId="77777777" w:rsidR="005447E2" w:rsidRPr="007237F6" w:rsidRDefault="005447E2" w:rsidP="005447E2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6DE7382D" w14:textId="011E84FB" w:rsidR="002A16E2" w:rsidRPr="007237F6" w:rsidRDefault="002A16E2" w:rsidP="0041628B">
      <w:pPr>
        <w:pStyle w:val="Akapitzlist"/>
        <w:numPr>
          <w:ilvl w:val="0"/>
          <w:numId w:val="3"/>
        </w:numPr>
        <w:ind w:left="567" w:hanging="567"/>
        <w:jc w:val="center"/>
        <w:rPr>
          <w:rFonts w:ascii="Garamond" w:hAnsi="Garamond"/>
          <w:sz w:val="24"/>
          <w:szCs w:val="24"/>
        </w:rPr>
      </w:pPr>
    </w:p>
    <w:p w14:paraId="5A6303AB" w14:textId="77777777" w:rsidR="00942BE6" w:rsidRPr="007237F6" w:rsidRDefault="00942BE6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Banku kształtuje strukturę organizacyjną Banku, jej ewolucje i ograniczenia, jak też zapewnia, aby ta struktura była uzasadniona i efektywna oraz nie cechowała sią nadmierną lub nieodpowiednią złożonością, która nie miałaby jasnego uzasadnienia ekonomicznego ani celu prawnego lub mogłaby być wykorzystana w celach związanych z przestępczością finansową. </w:t>
      </w:r>
    </w:p>
    <w:p w14:paraId="23909190" w14:textId="1D6BDEE4" w:rsidR="00942BE6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Tworzenie lub zmiany struktury organizacyjnej Banku, będą spójne w szczególności ze</w:t>
      </w:r>
      <w:r w:rsidR="00925E36">
        <w:rPr>
          <w:rFonts w:ascii="Garamond" w:hAnsi="Garamond"/>
          <w:sz w:val="24"/>
          <w:szCs w:val="24"/>
        </w:rPr>
        <w:t> </w:t>
      </w:r>
      <w:r w:rsidR="006F6248">
        <w:rPr>
          <w:rFonts w:ascii="Garamond" w:hAnsi="Garamond"/>
          <w:sz w:val="24"/>
          <w:szCs w:val="24"/>
        </w:rPr>
        <w:t>S</w:t>
      </w:r>
      <w:r w:rsidRPr="007237F6">
        <w:rPr>
          <w:rFonts w:ascii="Garamond" w:hAnsi="Garamond"/>
          <w:sz w:val="24"/>
          <w:szCs w:val="24"/>
        </w:rPr>
        <w:t>tatutem Banku, jako podstawowym aktem ustrojowym dotyczącym utworzenia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funkcjonowania Banku oraz sposobu działania jego organów. </w:t>
      </w:r>
    </w:p>
    <w:p w14:paraId="7C2CFE00" w14:textId="689CC3B8" w:rsidR="00942BE6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Wymóg, o którym mowa w ust. 1 jest zachowany również w odniesieniu do innych dokumentów wewnętrznych związanych z organizacją i funkcjonowaniem poszczególnych komórek organizacyjnych i stanowisk, a także jednostek </w:t>
      </w:r>
      <w:r w:rsidR="006F6248">
        <w:rPr>
          <w:rFonts w:ascii="Garamond" w:hAnsi="Garamond"/>
          <w:sz w:val="24"/>
          <w:szCs w:val="24"/>
        </w:rPr>
        <w:t xml:space="preserve">organizacyjnych </w:t>
      </w:r>
      <w:r w:rsidRPr="007237F6">
        <w:rPr>
          <w:rFonts w:ascii="Garamond" w:hAnsi="Garamond"/>
          <w:sz w:val="24"/>
          <w:szCs w:val="24"/>
        </w:rPr>
        <w:t>i ich komórek organizacyjnych czy 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65194B25" w14:textId="77777777" w:rsidR="00942BE6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Pracownicy Banku mają zapewniony odpowiedni dostęp do informacji </w:t>
      </w:r>
      <w:r w:rsidRPr="007237F6">
        <w:rPr>
          <w:rFonts w:ascii="Garamond" w:hAnsi="Garamond"/>
          <w:sz w:val="24"/>
          <w:szCs w:val="24"/>
        </w:rPr>
        <w:br/>
        <w:t>o zakresach uprawnień, obowiązkach i odpowiedzialności poszczególnych komórek organizacyjnych</w:t>
      </w:r>
      <w:r w:rsidR="00942BE6" w:rsidRPr="007237F6">
        <w:rPr>
          <w:rFonts w:ascii="Garamond" w:hAnsi="Garamond"/>
          <w:sz w:val="24"/>
          <w:szCs w:val="24"/>
        </w:rPr>
        <w:t xml:space="preserve">. </w:t>
      </w:r>
    </w:p>
    <w:p w14:paraId="1664C21B" w14:textId="553D66D2" w:rsidR="002A16E2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w pełni zna i rozumie strukturę prawną, organizacyjną i operacyjn</w:t>
      </w:r>
      <w:r w:rsidR="00244353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 xml:space="preserve"> Banku oraz zapewnia jej zgodność z zatwierdzoną strategią biznesową i w zakresie ryzyka jak też skłonnością do podejmowania ryzyka. </w:t>
      </w:r>
    </w:p>
    <w:p w14:paraId="32773C5C" w14:textId="7EE5AC84" w:rsidR="002A16E2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</w:t>
      </w:r>
      <w:r w:rsidR="006F6248">
        <w:rPr>
          <w:rFonts w:ascii="Garamond" w:hAnsi="Garamond"/>
          <w:sz w:val="24"/>
          <w:szCs w:val="24"/>
        </w:rPr>
        <w:t xml:space="preserve"> i Rada Nadzorcza</w:t>
      </w:r>
      <w:r w:rsidRPr="007237F6">
        <w:rPr>
          <w:rFonts w:ascii="Garamond" w:hAnsi="Garamond"/>
          <w:sz w:val="24"/>
          <w:szCs w:val="24"/>
        </w:rPr>
        <w:t xml:space="preserve"> zapewnia zatwierdzanie prawidłowych strategii i polityki ustanawiania nowych struktur, zapewniając by ich liczba, wzajemne powiązania i transakcje między nimi nie utrudniały zarządzania wewnętrznego oraz skutecznego zarządzania ryzykiem i</w:t>
      </w:r>
      <w:r w:rsid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nadzoru nad nim</w:t>
      </w:r>
      <w:r w:rsidR="00942BE6" w:rsidRPr="007237F6">
        <w:rPr>
          <w:rFonts w:ascii="Garamond" w:hAnsi="Garamond"/>
          <w:sz w:val="24"/>
          <w:szCs w:val="24"/>
        </w:rPr>
        <w:t xml:space="preserve">. </w:t>
      </w:r>
    </w:p>
    <w:p w14:paraId="34115FF6" w14:textId="77777777" w:rsidR="006C62DB" w:rsidRPr="007237F6" w:rsidRDefault="006C62DB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235351E4" w14:textId="76FB71CF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1A63A57" w14:textId="137E67BC" w:rsidR="00942BE6" w:rsidRPr="00344CB7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wprowadza anonimowy sposób powiadamiania Zarządu lub Rady Nadzorczej o</w:t>
      </w:r>
      <w:r w:rsidR="00942BE6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nadużyciach w Banku, zapewniający możliwość korzystania z tego narzędzia przez </w:t>
      </w:r>
      <w:r w:rsidR="00942BE6" w:rsidRPr="007237F6">
        <w:rPr>
          <w:rFonts w:ascii="Garamond" w:hAnsi="Garamond"/>
          <w:sz w:val="24"/>
          <w:szCs w:val="24"/>
        </w:rPr>
        <w:t xml:space="preserve">wszystkich </w:t>
      </w:r>
      <w:r w:rsidRPr="007237F6">
        <w:rPr>
          <w:rFonts w:ascii="Garamond" w:hAnsi="Garamond"/>
          <w:sz w:val="24"/>
          <w:szCs w:val="24"/>
        </w:rPr>
        <w:t>pracowników, za pośrednictwem określonego, niezależnego i autonomicznego kanału bez obawy negatywnych konsekwencji ze strony kierownictwa i innych pracowników Banku.</w:t>
      </w:r>
      <w:r w:rsidR="00942BE6" w:rsidRPr="007237F6">
        <w:rPr>
          <w:rFonts w:ascii="Garamond" w:hAnsi="Garamond"/>
          <w:sz w:val="24"/>
          <w:szCs w:val="24"/>
        </w:rPr>
        <w:t xml:space="preserve"> </w:t>
      </w:r>
    </w:p>
    <w:p w14:paraId="1E82B3A9" w14:textId="77777777" w:rsidR="001C04EB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Obowiązując</w:t>
      </w:r>
      <w:r w:rsidR="00942BE6" w:rsidRPr="007237F6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w Banku </w:t>
      </w:r>
      <w:r w:rsidR="00942BE6" w:rsidRPr="007237F6">
        <w:rPr>
          <w:rFonts w:ascii="Garamond" w:hAnsi="Garamond"/>
          <w:sz w:val="24"/>
          <w:szCs w:val="24"/>
        </w:rPr>
        <w:t xml:space="preserve">procedura dotycząca anonimowego sposobu </w:t>
      </w:r>
      <w:r w:rsidRPr="007237F6">
        <w:rPr>
          <w:rFonts w:ascii="Garamond" w:hAnsi="Garamond"/>
          <w:sz w:val="24"/>
          <w:szCs w:val="24"/>
        </w:rPr>
        <w:t>powiadamiania o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nadużyciach zawiera jasne reguły</w:t>
      </w:r>
      <w:r w:rsidR="00942BE6" w:rsidRPr="007237F6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zapewniające traktowanie informacji dotyczących osób </w:t>
      </w:r>
    </w:p>
    <w:p w14:paraId="199B21DB" w14:textId="77777777" w:rsidR="006C62DB" w:rsidRDefault="002A16E2" w:rsidP="00BD6874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1C04EB">
        <w:rPr>
          <w:rFonts w:ascii="Garamond" w:hAnsi="Garamond"/>
          <w:sz w:val="24"/>
          <w:szCs w:val="24"/>
        </w:rPr>
        <w:t xml:space="preserve">zgłaszających i zgłaszanych oraz naruszenia jako poufnych, chroni pracowników, którzy zgłaszają obawy, przed represjami za ujawnienie naruszeń podlegających zgłoszeniu a także  zapewnia, aby zgłaszane potencjalne lub rzeczywiste naruszenia podlegały ocenie i </w:t>
      </w:r>
    </w:p>
    <w:p w14:paraId="2B9AA953" w14:textId="77777777" w:rsidR="006C62DB" w:rsidRDefault="006C62DB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118F06E" w14:textId="6F6E9EF4" w:rsidR="00942BE6" w:rsidRPr="006C62DB" w:rsidRDefault="002A16E2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6C62DB">
        <w:rPr>
          <w:rFonts w:ascii="Garamond" w:hAnsi="Garamond"/>
          <w:sz w:val="24"/>
          <w:szCs w:val="24"/>
        </w:rPr>
        <w:t>przekazaniu na wyższy szczebel, w tym w stosownych przypadkach odpowiednim właściwym organom lub organom ścigania.</w:t>
      </w:r>
    </w:p>
    <w:p w14:paraId="34CC50C0" w14:textId="0817800D" w:rsidR="002A16E2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Procedura anonimowego powiadamiania zapewnia monitorowanie wyniku dochodzenia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sprawie zgłoszonego naruszenia oraz właściwe prowadzenie ewidencji zgłoszonych naruszeń</w:t>
      </w:r>
      <w:r w:rsidR="00942BE6" w:rsidRPr="007237F6">
        <w:rPr>
          <w:rFonts w:ascii="Garamond" w:hAnsi="Garamond"/>
          <w:sz w:val="24"/>
          <w:szCs w:val="24"/>
        </w:rPr>
        <w:t>.</w:t>
      </w:r>
    </w:p>
    <w:p w14:paraId="588553ED" w14:textId="735E51F7" w:rsidR="00344CB7" w:rsidRDefault="00344CB7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przedstawia Radzie Nadzorczej Banku raporty dotyczące powiadomień o poważnych nadużyciach</w:t>
      </w:r>
      <w:r>
        <w:rPr>
          <w:rFonts w:ascii="Garamond" w:hAnsi="Garamond"/>
          <w:sz w:val="24"/>
          <w:szCs w:val="24"/>
        </w:rPr>
        <w:t>.</w:t>
      </w:r>
    </w:p>
    <w:p w14:paraId="675E9A9C" w14:textId="77777777" w:rsidR="006C62DB" w:rsidRPr="007237F6" w:rsidRDefault="006C62DB" w:rsidP="006C62D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1D42B6B6" w14:textId="77777777" w:rsidR="00942BE6" w:rsidRPr="007237F6" w:rsidRDefault="00942BE6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D566D31" w14:textId="471FFF57" w:rsidR="002A16E2" w:rsidRPr="007237F6" w:rsidRDefault="002A16E2" w:rsidP="0041628B">
      <w:pPr>
        <w:pStyle w:val="Akapitzlist"/>
        <w:ind w:left="0"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stosuje plany ciągłości działania mające na celu zapewnianie ciągłości działania </w:t>
      </w:r>
      <w:r w:rsidR="001673EB">
        <w:rPr>
          <w:rFonts w:ascii="Garamond" w:hAnsi="Garamond"/>
          <w:sz w:val="24"/>
          <w:szCs w:val="24"/>
        </w:rPr>
        <w:t xml:space="preserve">                          </w:t>
      </w:r>
      <w:r w:rsidRPr="007237F6">
        <w:rPr>
          <w:rFonts w:ascii="Garamond" w:hAnsi="Garamond"/>
          <w:sz w:val="24"/>
          <w:szCs w:val="24"/>
        </w:rPr>
        <w:t>i ograniczenia strat na wypadek zakłóceń w działalności Bank</w:t>
      </w:r>
      <w:r w:rsidR="00344CB7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7A7E308" w14:textId="77777777" w:rsidR="002A16E2" w:rsidRPr="007237F6" w:rsidRDefault="002A16E2" w:rsidP="007237F6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6EBD6D44" w14:textId="645B9CCF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</w:t>
      </w:r>
      <w:r w:rsidR="00942BE6" w:rsidRPr="007237F6">
        <w:rPr>
          <w:rFonts w:ascii="Garamond" w:hAnsi="Garamond"/>
          <w:b/>
          <w:sz w:val="24"/>
          <w:szCs w:val="24"/>
        </w:rPr>
        <w:t xml:space="preserve"> 3</w:t>
      </w:r>
      <w:r w:rsidRPr="007237F6">
        <w:rPr>
          <w:rFonts w:ascii="Garamond" w:hAnsi="Garamond"/>
          <w:b/>
          <w:sz w:val="24"/>
          <w:szCs w:val="24"/>
        </w:rPr>
        <w:t xml:space="preserve"> </w:t>
      </w:r>
    </w:p>
    <w:p w14:paraId="7415AEDA" w14:textId="246EE7C2" w:rsidR="002A16E2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Relacja Banku z </w:t>
      </w:r>
      <w:r w:rsidR="006F6248">
        <w:rPr>
          <w:rFonts w:ascii="Garamond" w:hAnsi="Garamond"/>
          <w:b/>
          <w:sz w:val="24"/>
          <w:szCs w:val="24"/>
        </w:rPr>
        <w:t>członkami</w:t>
      </w:r>
    </w:p>
    <w:p w14:paraId="4DBDC8B4" w14:textId="77777777" w:rsidR="005447E2" w:rsidRPr="007237F6" w:rsidRDefault="005447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7EE1E9C9" w14:textId="77777777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3BD2C951" w14:textId="7D456C17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działa w interesie wszystkich </w:t>
      </w:r>
      <w:r w:rsidR="006F6248" w:rsidRPr="006F6248">
        <w:rPr>
          <w:rFonts w:ascii="Garamond" w:hAnsi="Garamond"/>
          <w:sz w:val="24"/>
          <w:szCs w:val="24"/>
        </w:rPr>
        <w:t>członków</w:t>
      </w:r>
      <w:r w:rsidR="006F6248" w:rsidRPr="007237F6">
        <w:rPr>
          <w:rFonts w:ascii="Garamond" w:hAnsi="Garamond"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>z poszanowaniem interesu klientów.</w:t>
      </w:r>
    </w:p>
    <w:p w14:paraId="208207A9" w14:textId="77777777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przy prowadzeniu działalności bierze pod uwagę interesy wszystkich interesariuszy, o ile nie są one sprzeczne z interesami Banku. </w:t>
      </w:r>
    </w:p>
    <w:p w14:paraId="0EFC5B2B" w14:textId="335E3B1F" w:rsidR="00344CB7" w:rsidRPr="00344CB7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zapewnia </w:t>
      </w:r>
      <w:r w:rsidR="006F6248">
        <w:rPr>
          <w:rFonts w:ascii="Garamond" w:hAnsi="Garamond"/>
          <w:sz w:val="24"/>
          <w:szCs w:val="24"/>
        </w:rPr>
        <w:t xml:space="preserve">członkom Banku </w:t>
      </w:r>
      <w:r w:rsidRPr="007237F6">
        <w:rPr>
          <w:rFonts w:ascii="Garamond" w:hAnsi="Garamond"/>
          <w:sz w:val="24"/>
          <w:szCs w:val="24"/>
        </w:rPr>
        <w:t xml:space="preserve">właściwy dostęp do informacji, w szczególności </w:t>
      </w:r>
      <w:r w:rsidR="006C62DB">
        <w:rPr>
          <w:rFonts w:ascii="Garamond" w:hAnsi="Garamond"/>
          <w:sz w:val="24"/>
          <w:szCs w:val="24"/>
        </w:rPr>
        <w:t xml:space="preserve">                           </w:t>
      </w:r>
      <w:r w:rsidRPr="007237F6">
        <w:rPr>
          <w:rFonts w:ascii="Garamond" w:hAnsi="Garamond"/>
          <w:sz w:val="24"/>
          <w:szCs w:val="24"/>
        </w:rPr>
        <w:t>w przypadku podejmowa</w:t>
      </w:r>
      <w:r w:rsidR="006F6248">
        <w:rPr>
          <w:rFonts w:ascii="Garamond" w:hAnsi="Garamond"/>
          <w:sz w:val="24"/>
          <w:szCs w:val="24"/>
        </w:rPr>
        <w:t>nych</w:t>
      </w:r>
      <w:r w:rsidRPr="007237F6">
        <w:rPr>
          <w:rFonts w:ascii="Garamond" w:hAnsi="Garamond"/>
          <w:sz w:val="24"/>
          <w:szCs w:val="24"/>
        </w:rPr>
        <w:t xml:space="preserve"> </w:t>
      </w:r>
      <w:r w:rsidR="00CF7C80">
        <w:rPr>
          <w:rFonts w:ascii="Garamond" w:hAnsi="Garamond"/>
          <w:sz w:val="24"/>
          <w:szCs w:val="24"/>
        </w:rPr>
        <w:t xml:space="preserve">uchwał </w:t>
      </w:r>
      <w:r w:rsidRPr="007237F6">
        <w:rPr>
          <w:rFonts w:ascii="Garamond" w:hAnsi="Garamond"/>
          <w:sz w:val="24"/>
          <w:szCs w:val="24"/>
        </w:rPr>
        <w:t xml:space="preserve">przez Zebranie Przedstawicieli. </w:t>
      </w:r>
    </w:p>
    <w:p w14:paraId="376CB310" w14:textId="6B3796CC" w:rsidR="002A16E2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udzielaniu informacji </w:t>
      </w:r>
      <w:r w:rsidR="00CF7C80" w:rsidRPr="00CF7C80">
        <w:rPr>
          <w:rFonts w:ascii="Garamond" w:hAnsi="Garamond"/>
          <w:sz w:val="24"/>
          <w:szCs w:val="24"/>
        </w:rPr>
        <w:t>członk</w:t>
      </w:r>
      <w:r w:rsidR="00CF7C80">
        <w:rPr>
          <w:rFonts w:ascii="Garamond" w:hAnsi="Garamond"/>
          <w:sz w:val="24"/>
          <w:szCs w:val="24"/>
        </w:rPr>
        <w:t>om</w:t>
      </w:r>
      <w:r w:rsidR="00CF7C80" w:rsidRPr="007237F6">
        <w:rPr>
          <w:rFonts w:ascii="Garamond" w:hAnsi="Garamond"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>Bank</w:t>
      </w:r>
      <w:r w:rsidR="00CF7C80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 zapewnia ich rzetelność oraz kompletność nie stosując przy tym preferencji w stosunku do wybranych udziałowców. </w:t>
      </w:r>
    </w:p>
    <w:p w14:paraId="601E5064" w14:textId="77777777" w:rsidR="00775CF3" w:rsidRPr="007237F6" w:rsidRDefault="00775CF3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05FEF588" w14:textId="60E51B0F" w:rsidR="00775CF3" w:rsidRPr="007237F6" w:rsidRDefault="00775CF3" w:rsidP="0041628B">
      <w:pPr>
        <w:pStyle w:val="Akapitzlist"/>
        <w:numPr>
          <w:ilvl w:val="0"/>
          <w:numId w:val="3"/>
        </w:numPr>
        <w:ind w:left="567" w:hanging="283"/>
        <w:jc w:val="center"/>
        <w:rPr>
          <w:rFonts w:ascii="Garamond" w:hAnsi="Garamond"/>
          <w:b/>
          <w:sz w:val="24"/>
          <w:szCs w:val="24"/>
        </w:rPr>
      </w:pPr>
    </w:p>
    <w:p w14:paraId="1A5CCF39" w14:textId="4EA0FC61" w:rsidR="00775CF3" w:rsidRPr="007237F6" w:rsidRDefault="00CF7C80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</w:t>
      </w:r>
      <w:r w:rsidR="002A16E2" w:rsidRPr="007237F6">
        <w:rPr>
          <w:rFonts w:ascii="Garamond" w:hAnsi="Garamond"/>
          <w:sz w:val="24"/>
          <w:szCs w:val="24"/>
        </w:rPr>
        <w:t xml:space="preserve"> powinni współdziałać przy realizacji jego celów oraz zapewniają bezpieczeństwo działania</w:t>
      </w:r>
      <w:r>
        <w:rPr>
          <w:rFonts w:ascii="Garamond" w:hAnsi="Garamond"/>
          <w:sz w:val="24"/>
          <w:szCs w:val="24"/>
        </w:rPr>
        <w:t xml:space="preserve"> Banku</w:t>
      </w:r>
      <w:r w:rsidR="002A16E2" w:rsidRPr="007237F6">
        <w:rPr>
          <w:rFonts w:ascii="Garamond" w:hAnsi="Garamond"/>
          <w:sz w:val="24"/>
          <w:szCs w:val="24"/>
        </w:rPr>
        <w:t xml:space="preserve">. </w:t>
      </w:r>
    </w:p>
    <w:p w14:paraId="75868C01" w14:textId="63101425" w:rsidR="00775CF3" w:rsidRPr="007237F6" w:rsidRDefault="00CF7C80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mogą wpływać na funkcjonowanie Banku wyłącznie poprzez decyzje Zebrania Przedstawicieli nie naruszając kompetencji pozostałych organów. Nieuprawnione wywieranie wpływu na Zarząd lub Radę Nadzorczą Banku będzie zgłoszone Komisji Nadzoru Finansowego. </w:t>
      </w:r>
    </w:p>
    <w:p w14:paraId="45B5FB73" w14:textId="42B14C95" w:rsidR="00775CF3" w:rsidRPr="007237F6" w:rsidRDefault="00CF7C80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w swych decyzjach powinni kierować się interesem Banku.  </w:t>
      </w:r>
    </w:p>
    <w:p w14:paraId="717C32A2" w14:textId="77777777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Zwołanie Zebrania Przedstawicieli w sytuacji, gdy wymaga tego dalsze prawidłowe funkcjonowanie Banku następuje niezwłocznie. </w:t>
      </w:r>
    </w:p>
    <w:p w14:paraId="44AF521C" w14:textId="34E3ACCF" w:rsidR="00775CF3" w:rsidRPr="005C423C" w:rsidRDefault="00CF7C80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powinni efektywnie korzystać z  narzędzi nadzoru właścicielskiego, aby zapewnić prawidłowe funkcjonowanie Zarządu i Rady Nadzorczej Banku. Organy Banku funkcjonują w taki sposób, by zapewniać rozdzielenie funkcji właścicielskich i zarządczych. Obecność udziałowca w zarządzie wymaga ograniczenia w Radzie Nadzorczej Banku podmiotów powiązanych z takim udziałowcem (w szczególności rodzinnie lub gospodarczo, poza udziałem w Banku), w celu uniknięcia obniżenia efektywności nadzoru wewnętrznego. </w:t>
      </w:r>
    </w:p>
    <w:p w14:paraId="1D693FEB" w14:textId="16434179" w:rsidR="005C423C" w:rsidRPr="001E632D" w:rsidRDefault="001E632D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 s</w:t>
      </w:r>
      <w:r w:rsidRPr="001E632D">
        <w:rPr>
          <w:rFonts w:ascii="Garamond" w:hAnsi="Garamond"/>
          <w:sz w:val="24"/>
          <w:szCs w:val="24"/>
        </w:rPr>
        <w:t>kład Rady Nadzorcz</w:t>
      </w:r>
      <w:r>
        <w:rPr>
          <w:rFonts w:ascii="Garamond" w:hAnsi="Garamond"/>
          <w:sz w:val="24"/>
          <w:szCs w:val="24"/>
        </w:rPr>
        <w:t>ej</w:t>
      </w:r>
      <w:r w:rsidRPr="001E632D">
        <w:rPr>
          <w:rFonts w:ascii="Garamond" w:hAnsi="Garamond"/>
          <w:sz w:val="24"/>
          <w:szCs w:val="24"/>
        </w:rPr>
        <w:t xml:space="preserve"> nie mogą wchodzić osoby pozostające z członkami zarządu lub kierownikami bieżącej działalności gospodarczej spółdzielni w związku małżeńskim albo w stosunku </w:t>
      </w:r>
      <w:bookmarkStart w:id="2" w:name="highlightHit_0"/>
      <w:bookmarkEnd w:id="2"/>
      <w:r w:rsidRPr="001E632D">
        <w:rPr>
          <w:rStyle w:val="highlight"/>
          <w:rFonts w:ascii="Garamond" w:hAnsi="Garamond"/>
          <w:sz w:val="24"/>
          <w:szCs w:val="24"/>
        </w:rPr>
        <w:t>pokrewieństwa</w:t>
      </w:r>
      <w:r w:rsidRPr="001E632D">
        <w:rPr>
          <w:rFonts w:ascii="Garamond" w:hAnsi="Garamond"/>
          <w:sz w:val="24"/>
          <w:szCs w:val="24"/>
        </w:rPr>
        <w:t xml:space="preserve"> lub powinowactwa w linii prostej i w drugim stopniu linii bocznej.</w:t>
      </w:r>
    </w:p>
    <w:p w14:paraId="14EDCD52" w14:textId="730BFFB0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Konflikty powstające pomiędzy udziałowcami powinny być rozwiązywane niezwłocznie, aby nie dochodziło do naruszania interesu Banku  i jego</w:t>
      </w:r>
      <w:r w:rsidR="00026064">
        <w:rPr>
          <w:rFonts w:ascii="Garamond" w:hAnsi="Garamond"/>
          <w:sz w:val="24"/>
          <w:szCs w:val="24"/>
        </w:rPr>
        <w:t xml:space="preserve"> członków</w:t>
      </w:r>
      <w:r w:rsidR="00344CB7">
        <w:rPr>
          <w:rFonts w:ascii="Garamond" w:hAnsi="Garamond"/>
          <w:sz w:val="24"/>
          <w:szCs w:val="24"/>
        </w:rPr>
        <w:t>.</w:t>
      </w:r>
    </w:p>
    <w:p w14:paraId="01EA91C5" w14:textId="77777777" w:rsidR="00775CF3" w:rsidRPr="007237F6" w:rsidRDefault="00775CF3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1EE6D0EA" w14:textId="3D4F409F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17E96A25" w14:textId="63DD7883" w:rsidR="00775CF3" w:rsidRPr="007237F6" w:rsidRDefault="0041628B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</w:t>
      </w:r>
      <w:r w:rsidR="002A16E2" w:rsidRPr="007237F6">
        <w:rPr>
          <w:rFonts w:ascii="Garamond" w:hAnsi="Garamond"/>
          <w:sz w:val="24"/>
          <w:szCs w:val="24"/>
        </w:rPr>
        <w:t xml:space="preserve"> nie będący członkami Zarządu, nie mogą ingerować w sposób sprawowania zarządu, w tym prowadzenie spraw przez Zarząd.</w:t>
      </w:r>
    </w:p>
    <w:p w14:paraId="01884922" w14:textId="3F477F5A" w:rsidR="002A16E2" w:rsidRPr="007237F6" w:rsidRDefault="0041628B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</w:t>
      </w:r>
      <w:r w:rsidR="002A16E2" w:rsidRPr="007237F6">
        <w:rPr>
          <w:rFonts w:ascii="Garamond" w:hAnsi="Garamond"/>
          <w:sz w:val="24"/>
          <w:szCs w:val="24"/>
        </w:rPr>
        <w:t xml:space="preserve"> nie powinni wykorzystywać swojej pozycji do podejmowania decyzji prowadzących do przeniesienia aktywów z Banku do innych podmiotów, a także do nabycia lub zbycia albo zawierania innych transakcji powodujących rozporządzenie przez Bank jego majątkiem na warunkach innych niż rynkowe, czy też z narażeniem bezpieczeństwa lub interesu Banku. </w:t>
      </w:r>
    </w:p>
    <w:p w14:paraId="5F4C73EF" w14:textId="77777777" w:rsidR="00775CF3" w:rsidRPr="007237F6" w:rsidRDefault="00775CF3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b/>
          <w:sz w:val="24"/>
          <w:szCs w:val="24"/>
        </w:rPr>
      </w:pPr>
    </w:p>
    <w:p w14:paraId="13088CF1" w14:textId="1EB18531" w:rsidR="00775CF3" w:rsidRPr="00542929" w:rsidRDefault="00775CF3" w:rsidP="002E3D78">
      <w:pPr>
        <w:jc w:val="both"/>
        <w:rPr>
          <w:rFonts w:ascii="Garamond" w:hAnsi="Garamond"/>
          <w:sz w:val="24"/>
          <w:szCs w:val="24"/>
        </w:rPr>
      </w:pPr>
      <w:r w:rsidRPr="00542929">
        <w:rPr>
          <w:rFonts w:ascii="Garamond" w:hAnsi="Garamond"/>
          <w:sz w:val="24"/>
          <w:szCs w:val="24"/>
        </w:rPr>
        <w:t xml:space="preserve">Decyzje w zakresie wypłaty </w:t>
      </w:r>
      <w:r w:rsidR="00542929" w:rsidRPr="00984DD5">
        <w:rPr>
          <w:rFonts w:ascii="Garamond" w:hAnsi="Garamond"/>
          <w:sz w:val="24"/>
          <w:szCs w:val="24"/>
        </w:rPr>
        <w:t>zysku</w:t>
      </w:r>
      <w:r w:rsidR="00542929" w:rsidRPr="00542929">
        <w:rPr>
          <w:rFonts w:ascii="Garamond" w:hAnsi="Garamond"/>
          <w:sz w:val="28"/>
          <w:szCs w:val="24"/>
        </w:rPr>
        <w:t xml:space="preserve"> </w:t>
      </w:r>
      <w:r w:rsidRPr="00542929">
        <w:rPr>
          <w:rFonts w:ascii="Garamond" w:hAnsi="Garamond"/>
          <w:sz w:val="24"/>
          <w:szCs w:val="24"/>
        </w:rPr>
        <w:t xml:space="preserve">uzależnione są od potrzeby utrzymania odpowiedniego poziomu kapitałów własnych oraz realizacji strategicznych celów instytucji nadzorowanej, </w:t>
      </w:r>
      <w:r w:rsidR="00542929" w:rsidRPr="00542929">
        <w:rPr>
          <w:rFonts w:ascii="Garamond" w:hAnsi="Garamond"/>
          <w:sz w:val="24"/>
          <w:szCs w:val="24"/>
        </w:rPr>
        <w:br/>
      </w:r>
      <w:r w:rsidRPr="00542929">
        <w:rPr>
          <w:rFonts w:ascii="Garamond" w:hAnsi="Garamond"/>
          <w:sz w:val="24"/>
          <w:szCs w:val="24"/>
        </w:rPr>
        <w:t xml:space="preserve">a także uwzględniają rekomendacje i indywidualne zalecenia wydane przez organy nadzoru. </w:t>
      </w:r>
    </w:p>
    <w:p w14:paraId="4A13A95B" w14:textId="77777777" w:rsidR="00775CF3" w:rsidRDefault="00775CF3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</w:p>
    <w:p w14:paraId="5A4E43AF" w14:textId="77777777" w:rsidR="002E3D78" w:rsidRPr="007237F6" w:rsidRDefault="002E3D78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</w:p>
    <w:p w14:paraId="6F54DD8D" w14:textId="77777777" w:rsidR="00775CF3" w:rsidRPr="007237F6" w:rsidRDefault="00775CF3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4</w:t>
      </w:r>
    </w:p>
    <w:p w14:paraId="25C44DBB" w14:textId="170A95D8" w:rsidR="00775CF3" w:rsidRDefault="00775CF3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Zarząd</w:t>
      </w:r>
    </w:p>
    <w:p w14:paraId="0C233259" w14:textId="77777777" w:rsidR="005447E2" w:rsidRPr="007237F6" w:rsidRDefault="005447E2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76E6BACC" w14:textId="77777777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C992956" w14:textId="77777777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ponosi ostateczną i ogólną odpowiedzialność za Bank oraz określa zasady zarządzania w Banku, które zapewniają skuteczne i ostrożne zarządzanie Bankiem, nadzoruje wdrożenie tych zasad </w:t>
      </w:r>
      <w:r w:rsidR="00931DDD" w:rsidRPr="007237F6">
        <w:rPr>
          <w:rFonts w:ascii="Garamond" w:hAnsi="Garamond"/>
          <w:sz w:val="24"/>
          <w:szCs w:val="24"/>
        </w:rPr>
        <w:t>oraz</w:t>
      </w:r>
      <w:r w:rsidRPr="007237F6">
        <w:rPr>
          <w:rFonts w:ascii="Garamond" w:hAnsi="Garamond"/>
          <w:sz w:val="24"/>
          <w:szCs w:val="24"/>
        </w:rPr>
        <w:t xml:space="preserve"> jest za to wdrożenie odpowiedzialny. </w:t>
      </w:r>
    </w:p>
    <w:p w14:paraId="6AD37A38" w14:textId="32082174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aktywnie angażuje się w działalność Banku i podejmuje decyzje w prawidłowy i</w:t>
      </w:r>
      <w:r w:rsidR="00344CB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świadomy sposób. </w:t>
      </w:r>
    </w:p>
    <w:p w14:paraId="4E04961A" w14:textId="6907BDE6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ponosi odpowiedzialność za wdrażanie strategii oraz regularnie omawia wdrażanie i</w:t>
      </w:r>
      <w:r w:rsidR="00344CB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odpowiedniość tych strategii z Radą Nadzorczą</w:t>
      </w:r>
      <w:r w:rsidR="002450C7">
        <w:rPr>
          <w:rFonts w:ascii="Garamond" w:hAnsi="Garamond"/>
          <w:sz w:val="24"/>
          <w:szCs w:val="24"/>
        </w:rPr>
        <w:t>.</w:t>
      </w:r>
    </w:p>
    <w:p w14:paraId="20FF42AE" w14:textId="690D1272" w:rsidR="00775CF3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dokonując osądu i podejmując decyzje konstruktywnie kwestionuje oraz krytycznie ocenia przedstawiane mu propozycje, wyjaśnienia i informacje</w:t>
      </w:r>
      <w:r w:rsidR="002450C7">
        <w:rPr>
          <w:rFonts w:ascii="Garamond" w:hAnsi="Garamond"/>
          <w:sz w:val="24"/>
          <w:szCs w:val="24"/>
        </w:rPr>
        <w:t>.</w:t>
      </w:r>
    </w:p>
    <w:p w14:paraId="7BADE1E0" w14:textId="0DDB9282" w:rsidR="002A16E2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składa kompleksowe sprawozdan</w:t>
      </w:r>
      <w:r w:rsidR="00CE6F7A">
        <w:rPr>
          <w:rFonts w:ascii="Garamond" w:hAnsi="Garamond"/>
          <w:sz w:val="24"/>
          <w:szCs w:val="24"/>
        </w:rPr>
        <w:t>i</w:t>
      </w:r>
      <w:r w:rsidRPr="007237F6">
        <w:rPr>
          <w:rFonts w:ascii="Garamond" w:hAnsi="Garamond"/>
          <w:sz w:val="24"/>
          <w:szCs w:val="24"/>
        </w:rPr>
        <w:t xml:space="preserve">a i informuje regularnie bez zbędnej zwłoki Radę Nadzorczą o elementach istotnych dla oceny sytuacji, ryzyku i wydarzeniach mających wpływ lub mogących mieć wpływ </w:t>
      </w:r>
      <w:r w:rsidR="0041628B" w:rsidRPr="007237F6">
        <w:rPr>
          <w:rFonts w:ascii="Garamond" w:hAnsi="Garamond"/>
          <w:sz w:val="24"/>
          <w:szCs w:val="24"/>
        </w:rPr>
        <w:t>na działanie</w:t>
      </w:r>
      <w:r w:rsidR="00931DDD" w:rsidRPr="007237F6">
        <w:rPr>
          <w:rFonts w:ascii="Garamond" w:hAnsi="Garamond"/>
          <w:sz w:val="24"/>
          <w:szCs w:val="24"/>
        </w:rPr>
        <w:t xml:space="preserve"> Banku.</w:t>
      </w:r>
    </w:p>
    <w:p w14:paraId="0A965C68" w14:textId="77777777" w:rsidR="00542929" w:rsidRPr="007237F6" w:rsidRDefault="00542929" w:rsidP="00542929">
      <w:pPr>
        <w:pStyle w:val="Akapitzlist"/>
        <w:ind w:left="709"/>
        <w:jc w:val="both"/>
        <w:rPr>
          <w:rFonts w:ascii="Garamond" w:hAnsi="Garamond"/>
          <w:sz w:val="24"/>
          <w:szCs w:val="24"/>
        </w:rPr>
      </w:pPr>
    </w:p>
    <w:p w14:paraId="58BF5851" w14:textId="77777777" w:rsidR="00775CF3" w:rsidRPr="007237F6" w:rsidRDefault="00775CF3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3FAC04B3" w14:textId="33BBC6E9" w:rsidR="00931DDD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</w:t>
      </w:r>
      <w:r w:rsidR="002450C7">
        <w:rPr>
          <w:rFonts w:ascii="Garamond" w:hAnsi="Garamond"/>
          <w:sz w:val="24"/>
          <w:szCs w:val="24"/>
        </w:rPr>
        <w:t>jest organem</w:t>
      </w:r>
      <w:r w:rsidRPr="007237F6">
        <w:rPr>
          <w:rFonts w:ascii="Garamond" w:hAnsi="Garamond"/>
          <w:sz w:val="24"/>
          <w:szCs w:val="24"/>
        </w:rPr>
        <w:t xml:space="preserve"> kolegialny</w:t>
      </w:r>
      <w:r w:rsidR="002450C7">
        <w:rPr>
          <w:rFonts w:ascii="Garamond" w:hAnsi="Garamond"/>
          <w:sz w:val="24"/>
          <w:szCs w:val="24"/>
        </w:rPr>
        <w:t>m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453D28BC" w14:textId="77777777" w:rsidR="00931DDD" w:rsidRPr="007237F6" w:rsidRDefault="002A16E2" w:rsidP="0041628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 posiadają kompetencje do prowadzenia spraw Banku wynikające z:</w:t>
      </w:r>
    </w:p>
    <w:p w14:paraId="565088BD" w14:textId="77777777" w:rsidR="00931DDD" w:rsidRPr="007237F6" w:rsidRDefault="002A16E2" w:rsidP="0041628B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wiedzy  (posiadanej z racji zdobytego wykształcenia, odbytych szkoleń, uzyskanych tytułów zawodowych oraz nabytej w inny sposób w toku kariery zawodowej), </w:t>
      </w:r>
    </w:p>
    <w:p w14:paraId="6A9AAFB2" w14:textId="77777777" w:rsidR="00931DDD" w:rsidRPr="007237F6" w:rsidRDefault="002A16E2" w:rsidP="0041628B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doświadczenia (nabytego w toku sprawowania określonych funkcji lub zajmowania określonych stanowisk), </w:t>
      </w:r>
    </w:p>
    <w:p w14:paraId="4B53353A" w14:textId="77777777" w:rsidR="00931DDD" w:rsidRPr="007237F6" w:rsidRDefault="002A16E2" w:rsidP="0041628B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umiejętności niezbędnych do wykonywania powierzonej funkcji. </w:t>
      </w:r>
    </w:p>
    <w:p w14:paraId="522DCBAF" w14:textId="77777777" w:rsidR="00931DD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Każdy z członków Zarządu daje rękojmię należytego wykonywania powierzonych mu obowiązków. </w:t>
      </w:r>
    </w:p>
    <w:p w14:paraId="41EBDBB4" w14:textId="013F8F2F" w:rsidR="003F29F4" w:rsidRPr="007237F6" w:rsidRDefault="003F29F4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Zarządu, podlegają ocenie odpowiedniości przez</w:t>
      </w:r>
      <w:r w:rsidR="00542929">
        <w:rPr>
          <w:rFonts w:ascii="Garamond" w:hAnsi="Garamond"/>
          <w:sz w:val="24"/>
          <w:szCs w:val="24"/>
        </w:rPr>
        <w:t xml:space="preserve"> Radę Nadzorczą</w:t>
      </w:r>
      <w:r w:rsidRPr="007237F6">
        <w:rPr>
          <w:rFonts w:ascii="Garamond" w:hAnsi="Garamond"/>
          <w:sz w:val="24"/>
          <w:szCs w:val="24"/>
        </w:rPr>
        <w:t>, na zasadach określonych w Polityce oceny odpowiedniości kandydatów na członków Zarządu, członków Zarządu oraz Zarządu.</w:t>
      </w:r>
    </w:p>
    <w:p w14:paraId="10586E25" w14:textId="77777777" w:rsidR="00931DDD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Indywidualne kompetencje poszczególnych członków Zarządu dopełniają się w taki sposób, aby możliwe było zapewnienie odpowiedniego poziomu kolegialnego zarządzania Bankiem.</w:t>
      </w:r>
    </w:p>
    <w:p w14:paraId="3EFE2B4A" w14:textId="77777777" w:rsidR="00326E4D" w:rsidRPr="007237F6" w:rsidRDefault="00326E4D" w:rsidP="00326E4D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2B864E8B" w14:textId="77777777" w:rsidR="00931DD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składzie Zarządu zapewniony jest udział osób, które władają językiem polskim oraz wykazują się odpowiednim doświadczeniem i znajomością polskiego rynku finansowego, niezbędnymi w zarządzaniu Bankiem na polskim rynku finansowym.  </w:t>
      </w:r>
    </w:p>
    <w:p w14:paraId="5A8000D0" w14:textId="172DD951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realizuje powyższe zasady poprzez stosowanie przepisów prawa powszechnie  obowiązującego oraz wytycznych, rekomendacji i zaleceń, określonych przez Europejski Urząd Nadzoru Bankowego oraz Komisję Nadzoru Finansowego, regulujących tą materię, </w:t>
      </w:r>
      <w:r w:rsidR="00EF191D">
        <w:rPr>
          <w:rFonts w:ascii="Garamond" w:hAnsi="Garamond"/>
          <w:sz w:val="24"/>
          <w:szCs w:val="24"/>
        </w:rPr>
        <w:t xml:space="preserve">a także wytyczne i rekomendacje Banku Zrzeszającego i Systemu Ochrony </w:t>
      </w:r>
      <w:r w:rsidRPr="007237F6">
        <w:rPr>
          <w:rFonts w:ascii="Garamond" w:hAnsi="Garamond"/>
          <w:sz w:val="24"/>
          <w:szCs w:val="24"/>
        </w:rPr>
        <w:t>z</w:t>
      </w:r>
      <w:r w:rsidR="008D015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zachowaniem zasady proporcjonalności.</w:t>
      </w:r>
    </w:p>
    <w:p w14:paraId="7BAC0EFD" w14:textId="3CC78A01" w:rsidR="00931DDD" w:rsidRPr="007237F6" w:rsidRDefault="00931DDD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12C8018A" w14:textId="77777777" w:rsidR="00931DD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</w:t>
      </w:r>
      <w:r w:rsidRPr="007237F6">
        <w:rPr>
          <w:rFonts w:ascii="Garamond" w:hAnsi="Garamond"/>
          <w:b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 xml:space="preserve">działając w interesie Banku ma na względzie cele oraz zasady prowadzenia działalności przez Bank określone przez przepisy prawa, regulacje wewnętrzne oraz rekomendacje nadzorcze. </w:t>
      </w:r>
    </w:p>
    <w:p w14:paraId="1DEFC7E7" w14:textId="77777777" w:rsidR="00931DD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realizując przyjętą strategię działalności kieruje się bezpieczeństwem Banku. </w:t>
      </w:r>
    </w:p>
    <w:p w14:paraId="12D4A84F" w14:textId="77777777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jest jedynym uprawnionym i odpowiedzialnym za zarządzanie działalnością Banku.</w:t>
      </w:r>
    </w:p>
    <w:p w14:paraId="0349ABCE" w14:textId="0E0E2BA4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Zarządzanie działalnością Banku obejmuje w szczególności funkcje prowadzenia spraw, planowania, organizowania, decydowania, kierowania oraz kontrolowania działalności Banku. </w:t>
      </w:r>
    </w:p>
    <w:p w14:paraId="50ACFA49" w14:textId="77777777" w:rsidR="005447E2" w:rsidRPr="007237F6" w:rsidRDefault="005447E2" w:rsidP="005447E2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3C50ADCA" w14:textId="77777777" w:rsidR="008E1FCA" w:rsidRPr="007237F6" w:rsidRDefault="008E1FC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.</w:t>
      </w:r>
    </w:p>
    <w:p w14:paraId="7E2801D0" w14:textId="751A5297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Obowiązki</w:t>
      </w:r>
      <w:r w:rsidR="00EF191D">
        <w:rPr>
          <w:rFonts w:ascii="Garamond" w:hAnsi="Garamond"/>
          <w:sz w:val="24"/>
          <w:szCs w:val="24"/>
        </w:rPr>
        <w:t xml:space="preserve"> i uprawnienia</w:t>
      </w:r>
      <w:r w:rsidRPr="007237F6">
        <w:rPr>
          <w:rFonts w:ascii="Garamond" w:hAnsi="Garamond"/>
          <w:sz w:val="24"/>
          <w:szCs w:val="24"/>
        </w:rPr>
        <w:t xml:space="preserve"> Zarządu są jasno określone w formie pisemnej. </w:t>
      </w:r>
    </w:p>
    <w:p w14:paraId="5FDA7AD4" w14:textId="11238408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Do obowiązków Zarządu nal</w:t>
      </w:r>
      <w:r w:rsidR="008E1FCA" w:rsidRPr="007237F6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>ży w szczególności ustalanie i wdrażani</w:t>
      </w:r>
      <w:r w:rsidR="00344CB7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>:</w:t>
      </w:r>
    </w:p>
    <w:p w14:paraId="5BA6F101" w14:textId="45CAABAA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o</w:t>
      </w:r>
      <w:r w:rsidR="002A16E2" w:rsidRPr="007237F6">
        <w:rPr>
          <w:rFonts w:ascii="Garamond" w:hAnsi="Garamond"/>
          <w:sz w:val="24"/>
          <w:szCs w:val="24"/>
        </w:rPr>
        <w:t>gólnej strategii biznesowej Banku</w:t>
      </w:r>
      <w:r w:rsidR="002450C7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</w:t>
      </w:r>
    </w:p>
    <w:p w14:paraId="2E7892F9" w14:textId="0A57CCAB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</w:t>
      </w:r>
      <w:r w:rsidR="002A16E2" w:rsidRPr="007237F6">
        <w:rPr>
          <w:rFonts w:ascii="Garamond" w:hAnsi="Garamond"/>
          <w:sz w:val="24"/>
          <w:szCs w:val="24"/>
        </w:rPr>
        <w:t xml:space="preserve">gólnej strategii w zakresie ryzyka, </w:t>
      </w:r>
      <w:r w:rsidR="005447E2" w:rsidRPr="007237F6">
        <w:rPr>
          <w:rFonts w:ascii="Garamond" w:hAnsi="Garamond"/>
          <w:sz w:val="24"/>
          <w:szCs w:val="24"/>
        </w:rPr>
        <w:t>w tym</w:t>
      </w:r>
      <w:r w:rsidR="002A16E2" w:rsidRPr="007237F6">
        <w:rPr>
          <w:rFonts w:ascii="Garamond" w:hAnsi="Garamond"/>
          <w:sz w:val="24"/>
          <w:szCs w:val="24"/>
        </w:rPr>
        <w:t xml:space="preserve"> skłonności instytucji do podejmowania ryzyka oraz jej ram zarządzania ryzykiem, a także środków zapewniających, aby Zarząd poświęcał wystarczająco dużo czasu na zagadnienia związane z ryzykiem</w:t>
      </w:r>
      <w:r w:rsidR="002450C7">
        <w:rPr>
          <w:rFonts w:ascii="Garamond" w:hAnsi="Garamond"/>
          <w:sz w:val="24"/>
          <w:szCs w:val="24"/>
        </w:rPr>
        <w:t>,</w:t>
      </w:r>
    </w:p>
    <w:p w14:paraId="62AB2B9A" w14:textId="7ABA0735" w:rsidR="008E1FCA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</w:t>
      </w:r>
      <w:r w:rsidR="008E1FCA" w:rsidRPr="007237F6">
        <w:rPr>
          <w:rFonts w:ascii="Garamond" w:hAnsi="Garamond"/>
          <w:sz w:val="24"/>
          <w:szCs w:val="24"/>
        </w:rPr>
        <w:t>o</w:t>
      </w:r>
      <w:r w:rsidRPr="007237F6">
        <w:rPr>
          <w:rFonts w:ascii="Garamond" w:hAnsi="Garamond"/>
          <w:sz w:val="24"/>
          <w:szCs w:val="24"/>
        </w:rPr>
        <w:t>dpowiednich i skutecznych ram zarządzania oraz kontroli wewnętrznej, obejmujących jasną strukturę organizacyjną i dobrze funkcjonujące niezależne wewnętrzne komórki ds. zarządzania ryzykiem, ds. zgodności, które dysponują wystarczającymi uprawnieniami, statusem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zasobami, aby móc wykonywać swoje funkcje</w:t>
      </w:r>
      <w:r w:rsidR="002450C7">
        <w:rPr>
          <w:rFonts w:ascii="Garamond" w:hAnsi="Garamond"/>
          <w:sz w:val="24"/>
          <w:szCs w:val="24"/>
        </w:rPr>
        <w:t>,</w:t>
      </w:r>
    </w:p>
    <w:p w14:paraId="5BB4A848" w14:textId="4DB3726A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</w:t>
      </w:r>
      <w:r w:rsidR="002A16E2" w:rsidRPr="007237F6">
        <w:rPr>
          <w:rFonts w:ascii="Garamond" w:hAnsi="Garamond"/>
          <w:sz w:val="24"/>
          <w:szCs w:val="24"/>
        </w:rPr>
        <w:t>ielkości, rodzajów oraz struktury kapitału wewnętrznego i funduszy własnych wystarczających do odpowiedniego pokrycia ryzyka podejmowanego przez Bank</w:t>
      </w:r>
      <w:r w:rsidR="002450C7">
        <w:rPr>
          <w:rFonts w:ascii="Garamond" w:hAnsi="Garamond"/>
          <w:sz w:val="24"/>
          <w:szCs w:val="24"/>
        </w:rPr>
        <w:t>,</w:t>
      </w:r>
    </w:p>
    <w:p w14:paraId="3CA8BD3B" w14:textId="78393794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</w:t>
      </w:r>
      <w:r w:rsidR="002A16E2" w:rsidRPr="007237F6">
        <w:rPr>
          <w:rFonts w:ascii="Garamond" w:hAnsi="Garamond"/>
          <w:sz w:val="24"/>
          <w:szCs w:val="24"/>
        </w:rPr>
        <w:t>elów zarządzania płynnością instytucji</w:t>
      </w:r>
      <w:r w:rsidR="002450C7">
        <w:rPr>
          <w:rFonts w:ascii="Garamond" w:hAnsi="Garamond"/>
          <w:sz w:val="24"/>
          <w:szCs w:val="24"/>
        </w:rPr>
        <w:t>,</w:t>
      </w:r>
    </w:p>
    <w:p w14:paraId="30704991" w14:textId="46161842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olityki wynagrodzeń</w:t>
      </w:r>
      <w:r w:rsidR="002450C7">
        <w:rPr>
          <w:rFonts w:ascii="Garamond" w:hAnsi="Garamond"/>
          <w:sz w:val="24"/>
          <w:szCs w:val="24"/>
        </w:rPr>
        <w:t>,</w:t>
      </w:r>
    </w:p>
    <w:p w14:paraId="5EC2FDF1" w14:textId="77777777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rocesu wyboru i oceny kwalifikacji osób pełniących najważniejsze funkcje</w:t>
      </w:r>
    </w:p>
    <w:p w14:paraId="7994DE37" w14:textId="58AD809B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</w:t>
      </w:r>
      <w:r w:rsidR="002A16E2" w:rsidRPr="007237F6">
        <w:rPr>
          <w:rFonts w:ascii="Garamond" w:hAnsi="Garamond"/>
          <w:sz w:val="24"/>
          <w:szCs w:val="24"/>
        </w:rPr>
        <w:t>ultury języka</w:t>
      </w:r>
      <w:r w:rsidR="002450C7">
        <w:rPr>
          <w:rFonts w:ascii="Garamond" w:hAnsi="Garamond"/>
          <w:sz w:val="24"/>
          <w:szCs w:val="24"/>
        </w:rPr>
        <w:t>,</w:t>
      </w:r>
      <w:r w:rsidR="002A16E2" w:rsidRPr="007237F6">
        <w:rPr>
          <w:rFonts w:ascii="Garamond" w:hAnsi="Garamond"/>
          <w:sz w:val="24"/>
          <w:szCs w:val="24"/>
        </w:rPr>
        <w:t xml:space="preserve"> </w:t>
      </w:r>
    </w:p>
    <w:p w14:paraId="5F1DD1C0" w14:textId="132B91FA" w:rsidR="008E1FCA" w:rsidRPr="007237F6" w:rsidRDefault="008E1FC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</w:t>
      </w:r>
      <w:r w:rsidR="002A16E2" w:rsidRPr="007237F6">
        <w:rPr>
          <w:rFonts w:ascii="Garamond" w:hAnsi="Garamond"/>
          <w:sz w:val="24"/>
          <w:szCs w:val="24"/>
        </w:rPr>
        <w:t>ultury korporacyjnej i wartości, które promują odpowiedzialne i etyczne postępowanie</w:t>
      </w:r>
      <w:r w:rsidR="002450C7">
        <w:rPr>
          <w:rFonts w:ascii="Garamond" w:hAnsi="Garamond"/>
          <w:sz w:val="24"/>
          <w:szCs w:val="24"/>
        </w:rPr>
        <w:t>,</w:t>
      </w:r>
    </w:p>
    <w:p w14:paraId="160490A3" w14:textId="098BEB3B" w:rsidR="008E1FCA" w:rsidRPr="007237F6" w:rsidRDefault="008E1FCA" w:rsidP="00326E4D">
      <w:pPr>
        <w:pStyle w:val="Akapitzlist"/>
        <w:numPr>
          <w:ilvl w:val="2"/>
          <w:numId w:val="3"/>
        </w:numPr>
        <w:ind w:left="851" w:hanging="425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olityki przeciwdziałania konfliktom interesów na poziomie instytucjonalnym</w:t>
      </w:r>
      <w:r w:rsidR="002450C7">
        <w:rPr>
          <w:rFonts w:ascii="Garamond" w:hAnsi="Garamond"/>
          <w:sz w:val="24"/>
          <w:szCs w:val="24"/>
        </w:rPr>
        <w:t>,</w:t>
      </w:r>
    </w:p>
    <w:p w14:paraId="482D878B" w14:textId="78615DCA" w:rsidR="002A16E2" w:rsidRPr="007237F6" w:rsidRDefault="008E1FCA" w:rsidP="00326E4D">
      <w:pPr>
        <w:pStyle w:val="Akapitzlist"/>
        <w:numPr>
          <w:ilvl w:val="2"/>
          <w:numId w:val="3"/>
        </w:numPr>
        <w:ind w:left="851" w:hanging="425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</w:t>
      </w:r>
      <w:r w:rsidR="002A16E2" w:rsidRPr="007237F6">
        <w:rPr>
          <w:rFonts w:ascii="Garamond" w:hAnsi="Garamond"/>
          <w:sz w:val="24"/>
          <w:szCs w:val="24"/>
        </w:rPr>
        <w:t xml:space="preserve">asad mających na celu zapewnienie rzetelności systemów rachunkowości </w:t>
      </w:r>
      <w:r w:rsidR="00326E4D">
        <w:rPr>
          <w:rFonts w:ascii="Garamond" w:hAnsi="Garamond"/>
          <w:sz w:val="24"/>
          <w:szCs w:val="24"/>
        </w:rPr>
        <w:t xml:space="preserve">                           </w:t>
      </w:r>
      <w:r w:rsidR="002A16E2" w:rsidRPr="007237F6">
        <w:rPr>
          <w:rFonts w:ascii="Garamond" w:hAnsi="Garamond"/>
          <w:sz w:val="24"/>
          <w:szCs w:val="24"/>
        </w:rPr>
        <w:t xml:space="preserve">i sprawozdawczości finansowej. </w:t>
      </w:r>
    </w:p>
    <w:p w14:paraId="15B5C088" w14:textId="77777777" w:rsidR="008E1FCA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składzie Zarządu Banku jest wyodrębniona funkcja Prezesa Zarządu kierującego pracami tego organu. </w:t>
      </w:r>
    </w:p>
    <w:p w14:paraId="78A7DD7F" w14:textId="77777777" w:rsidR="008E1FCA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Prezes Zarządu przyczynia się do efektywnego przepływu informacji w ramach Zarządu oraz pomiędzy Zarządem a Radą Nadzorczą oraz jest odpowiedzialny za ogólne skuteczne funkcjonowanie Zarządu. </w:t>
      </w:r>
    </w:p>
    <w:p w14:paraId="5AE944E6" w14:textId="4C7DEB9F" w:rsidR="008E1FCA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Prezes Zarządu zachęca do otwartej </w:t>
      </w:r>
      <w:r w:rsidR="00CE6F7A">
        <w:rPr>
          <w:rFonts w:ascii="Garamond" w:hAnsi="Garamond"/>
          <w:sz w:val="24"/>
          <w:szCs w:val="24"/>
        </w:rPr>
        <w:t>i</w:t>
      </w:r>
      <w:r w:rsidRPr="007237F6">
        <w:rPr>
          <w:rFonts w:ascii="Garamond" w:hAnsi="Garamond"/>
          <w:sz w:val="24"/>
          <w:szCs w:val="24"/>
        </w:rPr>
        <w:t xml:space="preserve"> krytycznej dyskusji, sprzyja takiej dyskusji oraz zapewnia możliwość wyrażania i omawiania odmiennych poglądów w ramach procesu decyzyjnego. </w:t>
      </w:r>
    </w:p>
    <w:p w14:paraId="5A491640" w14:textId="77777777" w:rsidR="00DB16FF" w:rsidRDefault="00DB16FF" w:rsidP="00DB16FF">
      <w:pPr>
        <w:pStyle w:val="Akapitzlist"/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40E7766F" w14:textId="77777777" w:rsidR="00DB16FF" w:rsidRPr="007237F6" w:rsidRDefault="00DB16FF" w:rsidP="00DB16FF">
      <w:pPr>
        <w:pStyle w:val="Akapitzlist"/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42051DD2" w14:textId="0A78EFFE" w:rsidR="008E1FCA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Prezes Zarządu ustala porządek posiedzeń i zapewnia priorytetowe poruszanie kwestii strategicznych, a także zapewnia otrzymywanie </w:t>
      </w:r>
      <w:r w:rsidR="00EF191D" w:rsidRPr="007237F6">
        <w:rPr>
          <w:rFonts w:ascii="Garamond" w:hAnsi="Garamond"/>
          <w:sz w:val="24"/>
          <w:szCs w:val="24"/>
        </w:rPr>
        <w:t xml:space="preserve">przez członków Zarządu </w:t>
      </w:r>
      <w:r w:rsidRPr="007237F6">
        <w:rPr>
          <w:rFonts w:ascii="Garamond" w:hAnsi="Garamond"/>
          <w:sz w:val="24"/>
          <w:szCs w:val="24"/>
        </w:rPr>
        <w:t>dokumentów i</w:t>
      </w:r>
      <w:r w:rsidR="00EF191D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informacji z wystarczającym wyprzedzeniem przed posiedzeniami</w:t>
      </w:r>
      <w:r w:rsidR="003D0D0B">
        <w:rPr>
          <w:rFonts w:ascii="Garamond" w:hAnsi="Garamond"/>
          <w:sz w:val="24"/>
          <w:szCs w:val="24"/>
        </w:rPr>
        <w:t>.</w:t>
      </w:r>
    </w:p>
    <w:p w14:paraId="5955DB34" w14:textId="5C9B8849" w:rsidR="002A16E2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Członkowie Zarządu Banku ponoszą kolegialną odpowiedzialność za decyzje zastrzeżone do kompetencji Zarządu, niezależnie od wprowadzenia wewnętrznego podziału odpowiedzialności za poszczególne obszary działalności Banku pomiędzy członków Zarządu. </w:t>
      </w:r>
    </w:p>
    <w:p w14:paraId="4DC73288" w14:textId="421A81EE" w:rsidR="008E1FCA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Wszyscy członkowie organu zarządzającego są na bieżąco informowani o ogólnej działalności Banku, jego sytuacji finansowej i pod względem ryzyka, a także o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podejmowanych decyzjach mających znaczny wpływ na działalność Banku</w:t>
      </w:r>
      <w:r w:rsidR="008E1FCA" w:rsidRPr="007237F6">
        <w:rPr>
          <w:rFonts w:ascii="Garamond" w:hAnsi="Garamond"/>
          <w:sz w:val="24"/>
          <w:szCs w:val="24"/>
        </w:rPr>
        <w:t>.</w:t>
      </w:r>
    </w:p>
    <w:p w14:paraId="6DEA60AC" w14:textId="77777777" w:rsidR="002A16E2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Wewnętrzny podział odpowiedzialności za poszczególne obszary działalności Banku pomiędzy członków Zarządu Banku dokonywany jest  w sposób przejrzysty i jednoznaczny oraz został odzwierciedlony w regulacjach wewnętrznych</w:t>
      </w:r>
      <w:r w:rsidR="008E1FCA" w:rsidRPr="007237F6">
        <w:rPr>
          <w:rFonts w:ascii="Garamond" w:hAnsi="Garamond"/>
          <w:sz w:val="24"/>
          <w:szCs w:val="24"/>
        </w:rPr>
        <w:t xml:space="preserve"> i uchwałach kompetencyjnych zatwierdzonych przez Radę Nadzorczą</w:t>
      </w:r>
      <w:r w:rsidRPr="007237F6">
        <w:rPr>
          <w:rFonts w:ascii="Garamond" w:hAnsi="Garamond"/>
          <w:sz w:val="24"/>
          <w:szCs w:val="24"/>
        </w:rPr>
        <w:t xml:space="preserve">. Podział ten nie prowadzi do zbędnego nakładania się kompetencji członków Zarządu Banku  lub wewnętrznych konfliktów interesów. </w:t>
      </w:r>
    </w:p>
    <w:p w14:paraId="538B9B72" w14:textId="63ABA775" w:rsidR="002A16E2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Wewnętrzny podział odpowiedzialności pomiędzy członków Zarządu </w:t>
      </w:r>
      <w:r w:rsidRPr="007237F6">
        <w:rPr>
          <w:rFonts w:ascii="Garamond" w:hAnsi="Garamond"/>
          <w:sz w:val="24"/>
          <w:szCs w:val="24"/>
        </w:rPr>
        <w:br/>
        <w:t xml:space="preserve">Banku nie prowadzi do sytuacji, w której określony obszar działalności Banku  nie jest przypisany do żadnego członka organu zarządzającego. </w:t>
      </w:r>
    </w:p>
    <w:p w14:paraId="4B441609" w14:textId="77777777" w:rsidR="005447E2" w:rsidRPr="007237F6" w:rsidRDefault="005447E2" w:rsidP="005447E2">
      <w:pPr>
        <w:pStyle w:val="Akapitzlist"/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2DD75316" w14:textId="66B35FE4" w:rsidR="008E1FCA" w:rsidRPr="007237F6" w:rsidRDefault="008E1FCA" w:rsidP="001C04EB">
      <w:pPr>
        <w:pStyle w:val="Akapitzlist"/>
        <w:numPr>
          <w:ilvl w:val="0"/>
          <w:numId w:val="3"/>
        </w:numPr>
        <w:ind w:left="567" w:hanging="567"/>
        <w:jc w:val="center"/>
        <w:rPr>
          <w:rFonts w:ascii="Garamond" w:hAnsi="Garamond"/>
          <w:sz w:val="24"/>
          <w:szCs w:val="24"/>
        </w:rPr>
      </w:pPr>
    </w:p>
    <w:p w14:paraId="389B3155" w14:textId="77777777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Posiedzenia Zarządu Banku odbywają się w języku polskim.</w:t>
      </w:r>
      <w:r w:rsidRPr="007237F6">
        <w:rPr>
          <w:rFonts w:ascii="Garamond" w:hAnsi="Garamond"/>
          <w:i/>
          <w:sz w:val="24"/>
          <w:szCs w:val="24"/>
        </w:rPr>
        <w:t xml:space="preserve"> </w:t>
      </w:r>
    </w:p>
    <w:p w14:paraId="34C06884" w14:textId="77777777" w:rsidR="008E1FCA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Protokół oraz treść podejmowanych uchwał lub innych istotnych postanowień Zarządu Banku  sporządzane są  w języku polskim</w:t>
      </w:r>
      <w:r w:rsidR="008E1FCA" w:rsidRPr="007237F6">
        <w:rPr>
          <w:rFonts w:ascii="Garamond" w:hAnsi="Garamond"/>
          <w:sz w:val="24"/>
          <w:szCs w:val="24"/>
        </w:rPr>
        <w:t xml:space="preserve">. </w:t>
      </w:r>
    </w:p>
    <w:p w14:paraId="3FDE0E75" w14:textId="77777777" w:rsidR="0007510A" w:rsidRPr="007237F6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5476533D" w14:textId="737EEDF5" w:rsidR="008E1FCA" w:rsidRPr="007237F6" w:rsidRDefault="008E1FCA" w:rsidP="00811754">
      <w:pPr>
        <w:pStyle w:val="Akapitzlist"/>
        <w:numPr>
          <w:ilvl w:val="0"/>
          <w:numId w:val="3"/>
        </w:numPr>
        <w:ind w:left="851"/>
        <w:jc w:val="center"/>
        <w:rPr>
          <w:rFonts w:ascii="Garamond" w:hAnsi="Garamond"/>
          <w:sz w:val="24"/>
          <w:szCs w:val="24"/>
        </w:rPr>
      </w:pPr>
    </w:p>
    <w:p w14:paraId="5A642958" w14:textId="02AAF4D3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Pełnienie funkcji członka Zarządu powinno stanowić główny obszar aktywności zawodowej członka Zarządu. Dodatkowa aktywność zawodowa członka Zarządu, poza Bankiem nie powinna prowadzić do takiego zaangażowania czasu i nakładu pracy, aby negatywnie wpływała na wykonywanie funkcji członka Zarządu.</w:t>
      </w:r>
    </w:p>
    <w:p w14:paraId="4F92FB2C" w14:textId="77777777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Członek Zarządu Banku nie powinien być w szczególności członkiem organów innych podmiotów, jeżeli czas poświęcony na wykonywanie funkcji w innych podmiotach uniemożliwiałby mu rzetelne wykonywanie obowiązków w Banku.</w:t>
      </w:r>
    </w:p>
    <w:p w14:paraId="54BA9788" w14:textId="77777777" w:rsidR="008E1FC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Członek Zarządu Banku powinien powstrzymać się od podejmowania aktywności zawodowej lub pozazawodowej, która mogłaby prowadzić do powstawania konfliktu interesów lub miałaby negatywny wpływ na jego reputację jako członka Zarządu Banku. </w:t>
      </w:r>
    </w:p>
    <w:p w14:paraId="1BA05E62" w14:textId="2A4E4102" w:rsidR="008B2A02" w:rsidRDefault="002A16E2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Zasady ograniczania konfliktu interesów zostały określone w odpowiedniej regulacji wewnętrznej określającej między innymi zasady identyfikacji, zarządzania oraz zapobiegania konfliktom interesów, a także zasady wyłączania członka Zarządu w</w:t>
      </w:r>
      <w:r w:rsidR="00A168AF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przypadku zaistnienia konfliktu interesów lub możliwości jego zaistnienia. </w:t>
      </w:r>
    </w:p>
    <w:p w14:paraId="1720C49E" w14:textId="77777777" w:rsidR="001C04EB" w:rsidRPr="001C04EB" w:rsidRDefault="001C04EB" w:rsidP="001C04E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576A4F19" w14:textId="677BCFC2" w:rsidR="00A168AF" w:rsidRPr="007237F6" w:rsidRDefault="00A168AF" w:rsidP="005447E2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24695E95" w14:textId="696C8404" w:rsidR="00A168AF" w:rsidRDefault="00B43536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przypadku</w:t>
      </w:r>
      <w:r w:rsidR="00A168AF" w:rsidRPr="007237F6">
        <w:rPr>
          <w:rFonts w:ascii="Garamond" w:hAnsi="Garamond"/>
          <w:sz w:val="24"/>
          <w:szCs w:val="24"/>
        </w:rPr>
        <w:t xml:space="preserve"> niepełnego składu Zarządu Banku, Rada Nadzorcza </w:t>
      </w:r>
      <w:r w:rsidR="0041628B" w:rsidRPr="007237F6">
        <w:rPr>
          <w:rFonts w:ascii="Garamond" w:hAnsi="Garamond"/>
          <w:sz w:val="24"/>
          <w:szCs w:val="24"/>
        </w:rPr>
        <w:t>Banku podejmuje</w:t>
      </w:r>
      <w:r w:rsidR="00A168AF" w:rsidRPr="007237F6">
        <w:rPr>
          <w:rFonts w:ascii="Garamond" w:hAnsi="Garamond"/>
          <w:sz w:val="24"/>
          <w:szCs w:val="24"/>
        </w:rPr>
        <w:t xml:space="preserve"> odpowiednie działania w celu jego niezwłocznego uzupełnienia.</w:t>
      </w:r>
    </w:p>
    <w:p w14:paraId="160DE6F0" w14:textId="77777777" w:rsidR="001C04EB" w:rsidRDefault="001C04E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5F23A189" w14:textId="77777777" w:rsidR="001C04EB" w:rsidRDefault="001C04E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74F8F130" w14:textId="77777777" w:rsidR="001C04EB" w:rsidRDefault="001C04E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0D49B846" w14:textId="77777777" w:rsidR="001C04EB" w:rsidRDefault="001C04E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795E2E33" w14:textId="77777777" w:rsidR="00A168AF" w:rsidRPr="007237F6" w:rsidRDefault="00A168AF" w:rsidP="0007510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D1F63F3" w14:textId="77777777" w:rsidR="00A168AF" w:rsidRPr="007237F6" w:rsidRDefault="00A168AF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Rozdział 5 </w:t>
      </w:r>
    </w:p>
    <w:p w14:paraId="284A19DA" w14:textId="3DF240D7" w:rsidR="00A168AF" w:rsidRDefault="00A168AF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Rada Nadzorcza</w:t>
      </w:r>
    </w:p>
    <w:p w14:paraId="11AE48CE" w14:textId="77777777" w:rsidR="005447E2" w:rsidRPr="007237F6" w:rsidRDefault="005447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DCE78FE" w14:textId="77777777" w:rsidR="00A168AF" w:rsidRPr="007237F6" w:rsidRDefault="00A168AF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50475FA" w14:textId="38032BF6" w:rsidR="00A168AF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sprawuje nadzór nad sprawami </w:t>
      </w:r>
      <w:r w:rsidR="00B43536" w:rsidRPr="007237F6">
        <w:rPr>
          <w:rFonts w:ascii="Garamond" w:hAnsi="Garamond"/>
          <w:sz w:val="24"/>
          <w:szCs w:val="24"/>
        </w:rPr>
        <w:t>Banku kierując</w:t>
      </w:r>
      <w:r w:rsidRPr="007237F6">
        <w:rPr>
          <w:rFonts w:ascii="Garamond" w:hAnsi="Garamond"/>
          <w:sz w:val="24"/>
          <w:szCs w:val="24"/>
        </w:rPr>
        <w:t xml:space="preserve"> się przy wykonywaniu swoich zadań dbałością o prawidłowe i bezpieczne działanie Banku. </w:t>
      </w:r>
    </w:p>
    <w:p w14:paraId="072EB929" w14:textId="518A6FA2" w:rsidR="00A168AF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monitoruje i konstruktywnie kwestionuje</w:t>
      </w:r>
      <w:r w:rsidR="008478D5">
        <w:rPr>
          <w:rFonts w:ascii="Garamond" w:hAnsi="Garamond"/>
          <w:sz w:val="24"/>
          <w:szCs w:val="24"/>
        </w:rPr>
        <w:t xml:space="preserve"> realizację</w:t>
      </w:r>
      <w:r w:rsidRPr="007237F6">
        <w:rPr>
          <w:rFonts w:ascii="Garamond" w:hAnsi="Garamond"/>
          <w:sz w:val="24"/>
          <w:szCs w:val="24"/>
        </w:rPr>
        <w:t xml:space="preserve"> strategi</w:t>
      </w:r>
      <w:r w:rsidR="008478D5">
        <w:rPr>
          <w:rFonts w:ascii="Garamond" w:hAnsi="Garamond"/>
          <w:sz w:val="24"/>
          <w:szCs w:val="24"/>
        </w:rPr>
        <w:t>i</w:t>
      </w:r>
      <w:r w:rsidR="00410E5B">
        <w:rPr>
          <w:rFonts w:ascii="Garamond" w:hAnsi="Garamond"/>
          <w:sz w:val="24"/>
          <w:szCs w:val="24"/>
        </w:rPr>
        <w:t xml:space="preserve"> działania Banku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6821C5C" w14:textId="77777777" w:rsidR="00A168AF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w ramach pełnionych funkcji zobowiązana jest w szczególności: </w:t>
      </w:r>
    </w:p>
    <w:p w14:paraId="6886AD51" w14:textId="77777777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nadzorować i monitorować proces podejmowania decyzji przez kierownictwo oraz jego działania, jak też zapewnić skuteczny nadzór nad Zarządem, w tym monitorowanie oraz kontrolę jego indywidualnych i zbiorowych wyników, jak też realizacji strategii i celów instytucji; </w:t>
      </w:r>
    </w:p>
    <w:p w14:paraId="11B3E999" w14:textId="79D7BC31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konstruktywnie kwestionować i krytycznie oceniać propozycje oraz informacje dostarczane przez Zarząd, a także jego decyzje; </w:t>
      </w:r>
    </w:p>
    <w:p w14:paraId="3E155F02" w14:textId="6F1A8865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uwzględniając zasadę proporcjonalności, należycie wypełniać obowiązki i rolę komitetu ds. ryzyka, </w:t>
      </w:r>
      <w:r w:rsidR="0016064C">
        <w:rPr>
          <w:rFonts w:ascii="Garamond" w:hAnsi="Garamond"/>
          <w:sz w:val="24"/>
          <w:szCs w:val="24"/>
        </w:rPr>
        <w:t>oraz Komitetu Audytu</w:t>
      </w:r>
      <w:r w:rsidR="00F31381">
        <w:rPr>
          <w:rFonts w:ascii="Garamond" w:hAnsi="Garamond"/>
          <w:sz w:val="24"/>
          <w:szCs w:val="24"/>
        </w:rPr>
        <w:t>;</w:t>
      </w:r>
    </w:p>
    <w:p w14:paraId="54EAB40E" w14:textId="77777777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zapewnić i okresowo oceniać skuteczność ram zarządzania wewnętrznego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 xml:space="preserve"> oraz podejmować odpowiednie kroki w celu usunięcia wszelkich stwierdzonych uchybień; </w:t>
      </w:r>
    </w:p>
    <w:p w14:paraId="4B0A5F3E" w14:textId="77777777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nadzorować i monitorować konsekwentne wdrażanie celów strategicznych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>, je</w:t>
      </w:r>
      <w:r w:rsidR="002229A5" w:rsidRPr="007237F6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struktury organizacyjnej i strategii w zakresie ryzyka, w tym je</w:t>
      </w:r>
      <w:r w:rsidR="002229A5" w:rsidRPr="007237F6">
        <w:rPr>
          <w:rFonts w:ascii="Garamond" w:hAnsi="Garamond"/>
          <w:sz w:val="24"/>
          <w:szCs w:val="24"/>
        </w:rPr>
        <w:t xml:space="preserve">go </w:t>
      </w:r>
      <w:r w:rsidRPr="007237F6">
        <w:rPr>
          <w:rFonts w:ascii="Garamond" w:hAnsi="Garamond"/>
          <w:sz w:val="24"/>
          <w:szCs w:val="24"/>
        </w:rPr>
        <w:t xml:space="preserve">skłonności do podejmowania ryzyka oraz ram zarządzania ryzykiem i innych obszarów polityki (np. polityki wynagrodzeń), a także zasad ujawniania informacji; </w:t>
      </w:r>
    </w:p>
    <w:p w14:paraId="67F4A56A" w14:textId="77777777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monitorować konsekwentne wdrażanie kultury ryzyka w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 xml:space="preserve">; </w:t>
      </w:r>
    </w:p>
    <w:p w14:paraId="2F7AAFD2" w14:textId="2B3C982F" w:rsidR="002229A5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nadzorować wdrażanie i utrzymywanie kodeksu postępowania lub podobnych skutecznych zasad w celu określenia faktycznych i potencjalnych konfliktów interesów, zarządzania nimi oraz ich minimalizacji</w:t>
      </w:r>
      <w:r w:rsidR="00F31381">
        <w:rPr>
          <w:rFonts w:ascii="Garamond" w:hAnsi="Garamond"/>
          <w:sz w:val="24"/>
          <w:szCs w:val="24"/>
        </w:rPr>
        <w:t>.</w:t>
      </w:r>
    </w:p>
    <w:p w14:paraId="10B7DCBD" w14:textId="223C2E04" w:rsidR="002229A5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Banku posiada możliwość podejmowania na bieżąco niezbędnych czynności nadzorczych w szczególności w zakresie realizacji przyjętych celów strategicznych lub istotnych zmian poziomu ryzyka lub materializacji istotnych ryzyk w działalności Banku,</w:t>
      </w:r>
      <w:r w:rsidR="00D875BB">
        <w:rPr>
          <w:rFonts w:ascii="Garamond" w:hAnsi="Garamond"/>
          <w:sz w:val="24"/>
          <w:szCs w:val="24"/>
        </w:rPr>
        <w:t xml:space="preserve">                 </w:t>
      </w:r>
      <w:r w:rsidRPr="007237F6">
        <w:rPr>
          <w:rFonts w:ascii="Garamond" w:hAnsi="Garamond"/>
          <w:sz w:val="24"/>
          <w:szCs w:val="24"/>
        </w:rPr>
        <w:t xml:space="preserve"> a także w zakresie sprawozdawczości finansowej, w tym wprowadzania istotnych zmian w polityce rachunkowości mających znaczący wpływ na treść informacji finansowej. </w:t>
      </w:r>
    </w:p>
    <w:p w14:paraId="14317D08" w14:textId="12D7807D" w:rsidR="00A168AF" w:rsidRDefault="00A168AF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Banku oraz poszczególni jej członkowie przy wykonywaniu nadzoru kierują się obiektywną oceną i osądem. </w:t>
      </w:r>
    </w:p>
    <w:p w14:paraId="44DD665C" w14:textId="77777777" w:rsidR="0007510A" w:rsidRPr="001C04EB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4996669C" w14:textId="4423C736" w:rsidR="00A168AF" w:rsidRPr="007237F6" w:rsidRDefault="00A168AF" w:rsidP="00B43536">
      <w:pPr>
        <w:pStyle w:val="Akapitzlist"/>
        <w:numPr>
          <w:ilvl w:val="0"/>
          <w:numId w:val="3"/>
        </w:numPr>
        <w:ind w:left="567" w:hanging="567"/>
        <w:jc w:val="center"/>
        <w:rPr>
          <w:rFonts w:ascii="Garamond" w:hAnsi="Garamond"/>
          <w:sz w:val="24"/>
          <w:szCs w:val="24"/>
        </w:rPr>
      </w:pPr>
    </w:p>
    <w:p w14:paraId="29EB4C2F" w14:textId="77777777" w:rsidR="00A168AF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Rady Nadzorczej Banku posiadają kompetencje do należytego wykonywania obowiązków nadzorowania Banku wynikające z:</w:t>
      </w:r>
    </w:p>
    <w:p w14:paraId="42D674ED" w14:textId="77777777" w:rsidR="00A168AF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wiedzy (posiadanej z racji zdobytego wykształcenia, odbytych szkoleń, uzyskanych tytułów zawodowych lub stopni naukowych oraz nabytej w inny sposób w toku kariery zawodowej), </w:t>
      </w:r>
    </w:p>
    <w:p w14:paraId="3850775F" w14:textId="77777777" w:rsidR="002229A5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doświadczenia (nabytego w toku sprawowania określonych funkcji lub zajmowania określonych stanowisk), </w:t>
      </w:r>
    </w:p>
    <w:p w14:paraId="02005819" w14:textId="77777777" w:rsidR="002229A5" w:rsidRPr="007237F6" w:rsidRDefault="00A168AF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umiejętności niezbędnych do wykonywania powierzonej funkcji.</w:t>
      </w:r>
    </w:p>
    <w:p w14:paraId="62406FBA" w14:textId="6857AB7A" w:rsidR="00A168AF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Indywidualne kompetencje poszczególnych członków kolegialnej Rady Nadzorczej Banku uzupełniają się w taki sposób, aby umożliwić zapewnienie odpowiedniego poziomu kolegialnego sprawowania nadzoru nad wszystkimi obszarami działania Banku</w:t>
      </w:r>
      <w:r w:rsidR="00F31381">
        <w:rPr>
          <w:rFonts w:ascii="Garamond" w:hAnsi="Garamond"/>
          <w:sz w:val="24"/>
          <w:szCs w:val="24"/>
        </w:rPr>
        <w:t>.</w:t>
      </w:r>
      <w:r w:rsidRPr="007237F6">
        <w:rPr>
          <w:rFonts w:ascii="Garamond" w:hAnsi="Garamond"/>
          <w:sz w:val="24"/>
          <w:szCs w:val="24"/>
        </w:rPr>
        <w:t xml:space="preserve">  </w:t>
      </w:r>
    </w:p>
    <w:p w14:paraId="7CACB8AD" w14:textId="77777777" w:rsidR="0007510A" w:rsidRPr="007237F6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5D0B18B3" w14:textId="77777777" w:rsidR="001E134A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Każdy z członków Rady Nadzorczej Banku daje rękojmię należytego wykonywania powierzonych mu obowiązków. </w:t>
      </w:r>
    </w:p>
    <w:p w14:paraId="0DBF6B9D" w14:textId="77777777" w:rsidR="002229A5" w:rsidRPr="007237F6" w:rsidRDefault="00A168AF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składzie Rady Nadzorczej Banku wszystkie osoby władają językiem polskim oraz wykazują się odpowiednim doświadczeniem i znajomością polskiego rynku finansowego niezbędnymi w nadzorowaniu Banku na polskim rynku finansowym.</w:t>
      </w:r>
    </w:p>
    <w:p w14:paraId="4DD5E7C7" w14:textId="4A1170A8" w:rsidR="005447E2" w:rsidRDefault="00A168AF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realizuje powyższe zasady poprzez stosowanie przepisów prawa powszechnie obowiązującego oraz wytycznych, rekomendacji i zaleceń, określonych przez Europejski Urząd Nadzoru Bankowego oraz Komisję Nadzoru Finansowego,</w:t>
      </w:r>
      <w:r w:rsidR="0016064C">
        <w:rPr>
          <w:rFonts w:ascii="Garamond" w:hAnsi="Garamond"/>
          <w:sz w:val="24"/>
          <w:szCs w:val="24"/>
        </w:rPr>
        <w:t xml:space="preserve"> Bank Zrzeszający i Spółdzielczy System Ochrony</w:t>
      </w:r>
      <w:r w:rsidRPr="007237F6">
        <w:rPr>
          <w:rFonts w:ascii="Garamond" w:hAnsi="Garamond"/>
          <w:sz w:val="24"/>
          <w:szCs w:val="24"/>
        </w:rPr>
        <w:t xml:space="preserve"> regulujących tą materię, z zachowaniem zasady proporcjonalności.</w:t>
      </w:r>
    </w:p>
    <w:p w14:paraId="1A1BC0EA" w14:textId="77777777" w:rsidR="001C04EB" w:rsidRPr="001C04EB" w:rsidRDefault="001C04EB" w:rsidP="001C04E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5585D62F" w14:textId="30852119" w:rsidR="002229A5" w:rsidRPr="007237F6" w:rsidRDefault="002229A5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A76B127" w14:textId="77777777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Skład liczebny Rady Nadzorczej Banku jest adekwatny do charakteru i skali prowadzonej przez Bank działalności. </w:t>
      </w:r>
    </w:p>
    <w:p w14:paraId="0676E41D" w14:textId="523DA8AC" w:rsidR="001E134A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składzie Rady Nadzorczej Banku wyodrębniona </w:t>
      </w:r>
      <w:r w:rsidR="0041628B" w:rsidRPr="007237F6">
        <w:rPr>
          <w:rFonts w:ascii="Garamond" w:hAnsi="Garamond"/>
          <w:sz w:val="24"/>
          <w:szCs w:val="24"/>
        </w:rPr>
        <w:t>jest funkcja</w:t>
      </w:r>
      <w:r w:rsidRPr="007237F6">
        <w:rPr>
          <w:rFonts w:ascii="Garamond" w:hAnsi="Garamond"/>
          <w:sz w:val="24"/>
          <w:szCs w:val="24"/>
        </w:rPr>
        <w:t xml:space="preserve"> przewodniczącego, który kieruje pracami Rady Nadzorczej. Wybór przewodniczącego rady Nadzorczej Banku dokonywany </w:t>
      </w:r>
      <w:r w:rsidR="0041628B" w:rsidRPr="007237F6">
        <w:rPr>
          <w:rFonts w:ascii="Garamond" w:hAnsi="Garamond"/>
          <w:sz w:val="24"/>
          <w:szCs w:val="24"/>
        </w:rPr>
        <w:t>jest w</w:t>
      </w:r>
      <w:r w:rsidRPr="007237F6">
        <w:rPr>
          <w:rFonts w:ascii="Garamond" w:hAnsi="Garamond"/>
          <w:sz w:val="24"/>
          <w:szCs w:val="24"/>
        </w:rPr>
        <w:t xml:space="preserve"> oparciu o doświadczenie oraz umiejętności kierowania zespołem. </w:t>
      </w:r>
    </w:p>
    <w:p w14:paraId="28035CE0" w14:textId="065A4822" w:rsidR="0016064C" w:rsidRPr="007237F6" w:rsidRDefault="0016064C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</w:t>
      </w:r>
      <w:r w:rsidR="006E1082">
        <w:rPr>
          <w:rFonts w:ascii="Garamond" w:hAnsi="Garamond"/>
          <w:sz w:val="24"/>
          <w:szCs w:val="24"/>
        </w:rPr>
        <w:t>powołuje spośród siebie Prezydium</w:t>
      </w:r>
      <w:r w:rsidR="00F31381">
        <w:rPr>
          <w:rFonts w:ascii="Garamond" w:hAnsi="Garamond"/>
          <w:sz w:val="24"/>
          <w:szCs w:val="24"/>
        </w:rPr>
        <w:t>.</w:t>
      </w:r>
    </w:p>
    <w:p w14:paraId="1A19CFD4" w14:textId="7C07CD81" w:rsidR="001E134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ramach Rady Nadzorczej </w:t>
      </w:r>
      <w:r w:rsidR="008B2A02">
        <w:rPr>
          <w:rFonts w:ascii="Garamond" w:hAnsi="Garamond"/>
          <w:sz w:val="24"/>
          <w:szCs w:val="24"/>
        </w:rPr>
        <w:t>działa</w:t>
      </w:r>
      <w:r w:rsidRPr="007237F6">
        <w:rPr>
          <w:rFonts w:ascii="Garamond" w:hAnsi="Garamond"/>
          <w:sz w:val="24"/>
          <w:szCs w:val="24"/>
        </w:rPr>
        <w:t xml:space="preserve"> Komitet Audytu</w:t>
      </w:r>
      <w:r w:rsidR="001E134A" w:rsidRPr="007237F6">
        <w:rPr>
          <w:rFonts w:ascii="Garamond" w:hAnsi="Garamond"/>
          <w:sz w:val="24"/>
          <w:szCs w:val="24"/>
        </w:rPr>
        <w:t xml:space="preserve"> powołany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="001E134A" w:rsidRPr="007237F6">
        <w:rPr>
          <w:rFonts w:ascii="Garamond" w:hAnsi="Garamond"/>
          <w:sz w:val="24"/>
          <w:szCs w:val="24"/>
        </w:rPr>
        <w:t xml:space="preserve">szczególności do: </w:t>
      </w:r>
    </w:p>
    <w:p w14:paraId="6B46C0B2" w14:textId="21023BD8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monitorowania skuteczności wewnętrznych systemów kontroli jakości i</w:t>
      </w:r>
      <w:r w:rsidR="00410E5B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zarządzania ryzykiem instytucji oraz, w stosownych przypadkach, jej komórki audytu wewnętrznego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odniesieniu do sprawozdawczości finansowej badanej instytucji, bez naruszania jej niezależności; </w:t>
      </w:r>
    </w:p>
    <w:p w14:paraId="145B4DD9" w14:textId="0C5DA26A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ustanowieni</w:t>
      </w:r>
      <w:r w:rsidR="00410E5B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przez instytucję polityki rachunkowości; </w:t>
      </w:r>
    </w:p>
    <w:p w14:paraId="0DC647F1" w14:textId="703C01D7" w:rsidR="001E134A" w:rsidRPr="007237F6" w:rsidRDefault="00487C76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E134A" w:rsidRPr="007237F6">
        <w:rPr>
          <w:rFonts w:ascii="Garamond" w:hAnsi="Garamond"/>
          <w:sz w:val="24"/>
          <w:szCs w:val="24"/>
        </w:rPr>
        <w:t>monitorowa</w:t>
      </w:r>
      <w:r>
        <w:rPr>
          <w:rFonts w:ascii="Garamond" w:hAnsi="Garamond"/>
          <w:sz w:val="24"/>
          <w:szCs w:val="24"/>
        </w:rPr>
        <w:t>nia</w:t>
      </w:r>
      <w:r w:rsidR="001E134A" w:rsidRPr="007237F6">
        <w:rPr>
          <w:rFonts w:ascii="Garamond" w:hAnsi="Garamond"/>
          <w:sz w:val="24"/>
          <w:szCs w:val="24"/>
        </w:rPr>
        <w:t xml:space="preserve"> proces</w:t>
      </w:r>
      <w:r>
        <w:rPr>
          <w:rFonts w:ascii="Garamond" w:hAnsi="Garamond"/>
          <w:sz w:val="24"/>
          <w:szCs w:val="24"/>
        </w:rPr>
        <w:t>u</w:t>
      </w:r>
      <w:r w:rsidR="001E134A" w:rsidRPr="007237F6">
        <w:rPr>
          <w:rFonts w:ascii="Garamond" w:hAnsi="Garamond"/>
          <w:sz w:val="24"/>
          <w:szCs w:val="24"/>
        </w:rPr>
        <w:t xml:space="preserve"> sprawozdawczości finansowej i przedstawia</w:t>
      </w:r>
      <w:r>
        <w:rPr>
          <w:rFonts w:ascii="Garamond" w:hAnsi="Garamond"/>
          <w:sz w:val="24"/>
          <w:szCs w:val="24"/>
        </w:rPr>
        <w:t>nia</w:t>
      </w:r>
      <w:r w:rsidR="001E134A" w:rsidRPr="007237F6">
        <w:rPr>
          <w:rFonts w:ascii="Garamond" w:hAnsi="Garamond"/>
          <w:sz w:val="24"/>
          <w:szCs w:val="24"/>
        </w:rPr>
        <w:t xml:space="preserve"> zalece</w:t>
      </w:r>
      <w:r>
        <w:rPr>
          <w:rFonts w:ascii="Garamond" w:hAnsi="Garamond"/>
          <w:sz w:val="24"/>
          <w:szCs w:val="24"/>
        </w:rPr>
        <w:t>ń</w:t>
      </w:r>
      <w:r w:rsidR="001E134A" w:rsidRPr="007237F6">
        <w:rPr>
          <w:rFonts w:ascii="Garamond" w:hAnsi="Garamond"/>
          <w:sz w:val="24"/>
          <w:szCs w:val="24"/>
        </w:rPr>
        <w:t xml:space="preserve"> mające na celu zapewnienie jego rzetelności; </w:t>
      </w:r>
    </w:p>
    <w:p w14:paraId="0AC28E51" w14:textId="3AD751D3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dokonywa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przeglądu i monitorowania niezależności biegłych rewidentów lub firm audytorskich w szczególności odpowiedniości świadczenia usług niebędących badaniem sprawozdań finansowych zgodnie z</w:t>
      </w:r>
      <w:r w:rsidR="003F29F4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art. 5 </w:t>
      </w:r>
      <w:r w:rsidR="00487C76" w:rsidRPr="007237F6">
        <w:rPr>
          <w:rFonts w:ascii="Garamond" w:hAnsi="Garamond"/>
          <w:sz w:val="24"/>
          <w:szCs w:val="24"/>
        </w:rPr>
        <w:t>rozporządzenia (UE) nr 537/2014</w:t>
      </w:r>
      <w:r w:rsidRPr="007237F6">
        <w:rPr>
          <w:rFonts w:ascii="Garamond" w:hAnsi="Garamond"/>
          <w:sz w:val="24"/>
          <w:szCs w:val="24"/>
        </w:rPr>
        <w:t>;</w:t>
      </w:r>
    </w:p>
    <w:p w14:paraId="64DA81E1" w14:textId="2CFB840F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monitorowa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badani</w:t>
      </w:r>
      <w:r w:rsidR="00410E5B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ustawowe</w:t>
      </w:r>
      <w:r w:rsidR="00410E5B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rocznego i skonsolidowanego sprawozdania finansowego, w szczególności jego przeprowadzeni</w:t>
      </w:r>
      <w:r w:rsidR="00487C76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>, uwzględniając wszelkie ustalenia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wnioski właściwego organu zgodnie z art. 26 ust. 6 rozporządzenia (UE) nr 537/2014; </w:t>
      </w:r>
    </w:p>
    <w:p w14:paraId="2DB58761" w14:textId="3B21EC29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ponos</w:t>
      </w:r>
      <w:r w:rsidR="00410E5B">
        <w:rPr>
          <w:rFonts w:ascii="Garamond" w:hAnsi="Garamond"/>
          <w:sz w:val="24"/>
          <w:szCs w:val="24"/>
        </w:rPr>
        <w:t>zenia</w:t>
      </w:r>
      <w:r w:rsidRPr="007237F6">
        <w:rPr>
          <w:rFonts w:ascii="Garamond" w:hAnsi="Garamond"/>
          <w:sz w:val="24"/>
          <w:szCs w:val="24"/>
        </w:rPr>
        <w:t xml:space="preserve"> odpowiedzialnoś</w:t>
      </w:r>
      <w:r w:rsidR="00410E5B">
        <w:rPr>
          <w:rFonts w:ascii="Garamond" w:hAnsi="Garamond"/>
          <w:sz w:val="24"/>
          <w:szCs w:val="24"/>
        </w:rPr>
        <w:t>ci</w:t>
      </w:r>
      <w:r w:rsidRPr="007237F6">
        <w:rPr>
          <w:rFonts w:ascii="Garamond" w:hAnsi="Garamond"/>
          <w:sz w:val="24"/>
          <w:szCs w:val="24"/>
        </w:rPr>
        <w:t xml:space="preserve"> za procedurę wyboru zewnętrznego biegłego rewidenta lub rewidentów bądź firmy audytorskiej lub firm audytorskich i zaleca</w:t>
      </w:r>
      <w:r w:rsidR="00487C76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zatwierdzeni</w:t>
      </w:r>
      <w:r w:rsidR="00487C76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ich powołania, wynagrodzenia oraz odwołania przez właściwe organy instytucji;</w:t>
      </w:r>
    </w:p>
    <w:p w14:paraId="28176AA2" w14:textId="4DB8E5F4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dokonywa</w:t>
      </w:r>
      <w:r w:rsidR="00410E5B">
        <w:rPr>
          <w:rFonts w:ascii="Garamond" w:hAnsi="Garamond"/>
          <w:sz w:val="24"/>
          <w:szCs w:val="24"/>
        </w:rPr>
        <w:t>ni</w:t>
      </w:r>
      <w:r w:rsidR="00487C76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przeglądu zakresu i częstotliwości badania ustawowego rocznych lub skonsolidowanych sprawozdań finansowych;</w:t>
      </w:r>
    </w:p>
    <w:p w14:paraId="25628CE3" w14:textId="091A7BAD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zgodnie z art. 39 ust. 6 lit. a) dyrektywy 2006/43/UE poinformowa</w:t>
      </w:r>
      <w:r w:rsidR="00410E5B">
        <w:rPr>
          <w:rFonts w:ascii="Garamond" w:hAnsi="Garamond"/>
          <w:sz w:val="24"/>
          <w:szCs w:val="24"/>
        </w:rPr>
        <w:t>ni</w:t>
      </w:r>
      <w:r w:rsidR="003C1CA3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organ</w:t>
      </w:r>
      <w:r w:rsidR="00410E5B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 administracyjn</w:t>
      </w:r>
      <w:r w:rsidR="00410E5B">
        <w:rPr>
          <w:rFonts w:ascii="Garamond" w:hAnsi="Garamond"/>
          <w:sz w:val="24"/>
          <w:szCs w:val="24"/>
        </w:rPr>
        <w:t>ego</w:t>
      </w:r>
      <w:r w:rsidRPr="007237F6">
        <w:rPr>
          <w:rFonts w:ascii="Garamond" w:hAnsi="Garamond"/>
          <w:sz w:val="24"/>
          <w:szCs w:val="24"/>
        </w:rPr>
        <w:t xml:space="preserve"> lub nadzorcz</w:t>
      </w:r>
      <w:r w:rsidR="00410E5B">
        <w:rPr>
          <w:rFonts w:ascii="Garamond" w:hAnsi="Garamond"/>
          <w:sz w:val="24"/>
          <w:szCs w:val="24"/>
        </w:rPr>
        <w:t>ego</w:t>
      </w:r>
      <w:r w:rsidRPr="007237F6">
        <w:rPr>
          <w:rFonts w:ascii="Garamond" w:hAnsi="Garamond"/>
          <w:sz w:val="24"/>
          <w:szCs w:val="24"/>
        </w:rPr>
        <w:t xml:space="preserve"> badanej jednostki o wynikach badania ustawowego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wyjaśni</w:t>
      </w:r>
      <w:r w:rsidR="00410E5B">
        <w:rPr>
          <w:rFonts w:ascii="Garamond" w:hAnsi="Garamond"/>
          <w:sz w:val="24"/>
          <w:szCs w:val="24"/>
        </w:rPr>
        <w:t>eni</w:t>
      </w:r>
      <w:r w:rsidR="003C1CA3">
        <w:rPr>
          <w:rFonts w:ascii="Garamond" w:hAnsi="Garamond"/>
          <w:sz w:val="24"/>
          <w:szCs w:val="24"/>
        </w:rPr>
        <w:t>a,</w:t>
      </w:r>
      <w:r w:rsidRPr="007237F6">
        <w:rPr>
          <w:rFonts w:ascii="Garamond" w:hAnsi="Garamond"/>
          <w:sz w:val="24"/>
          <w:szCs w:val="24"/>
        </w:rPr>
        <w:t xml:space="preserve"> w jaki sposób badanie to przyczyniło się do rzetelności sprawozdawczości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finansowej i jaka była rola komitetu ds. audytu w tym procesie; oraz</w:t>
      </w:r>
    </w:p>
    <w:p w14:paraId="50C3B79B" w14:textId="4586431E" w:rsidR="001E134A" w:rsidRPr="007237F6" w:rsidRDefault="001E134A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otrzymywa</w:t>
      </w:r>
      <w:r w:rsidR="00410E5B">
        <w:rPr>
          <w:rFonts w:ascii="Garamond" w:hAnsi="Garamond"/>
          <w:sz w:val="24"/>
          <w:szCs w:val="24"/>
        </w:rPr>
        <w:t>ni</w:t>
      </w:r>
      <w:r w:rsidR="003C1CA3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i uwzględnia</w:t>
      </w:r>
      <w:r w:rsidR="00410E5B">
        <w:rPr>
          <w:rFonts w:ascii="Garamond" w:hAnsi="Garamond"/>
          <w:sz w:val="24"/>
          <w:szCs w:val="24"/>
        </w:rPr>
        <w:t>ni</w:t>
      </w:r>
      <w:r w:rsidR="003C1CA3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sprawozdania z badań.</w:t>
      </w:r>
    </w:p>
    <w:p w14:paraId="7F6798A9" w14:textId="77777777" w:rsidR="001E134A" w:rsidRPr="007237F6" w:rsidRDefault="001E134A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Skład Komitetu Audytu odpowiada wymaganiom Ustawy z dnia 11 maja 2017 roku o biegłych rewidentach, firmach audytorskich oraz nadzorze publicznym.</w:t>
      </w:r>
    </w:p>
    <w:p w14:paraId="4458860D" w14:textId="77777777" w:rsidR="001E134A" w:rsidRDefault="001E134A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Szczegółowe zasady funkcjonowania Komitetu Audytu reguluje Regulamin Komitetu Audytu oraz ustawa o biegłych rewidentach, firmach audytorskich oraz nadzorze publicznym. </w:t>
      </w:r>
    </w:p>
    <w:p w14:paraId="0935BC36" w14:textId="77777777" w:rsidR="0007510A" w:rsidRPr="007237F6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33B73A6F" w14:textId="5FD4A8B8" w:rsidR="001C04EB" w:rsidRPr="001C04EB" w:rsidRDefault="008372F8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 składu Rady Nadzorczej wybierani są </w:t>
      </w:r>
      <w:r w:rsidR="00CF7C80">
        <w:rPr>
          <w:rFonts w:ascii="Garamond" w:hAnsi="Garamond"/>
          <w:sz w:val="24"/>
          <w:szCs w:val="24"/>
        </w:rPr>
        <w:t>Członkowie Banku</w:t>
      </w:r>
      <w:r w:rsidRPr="007237F6">
        <w:rPr>
          <w:rFonts w:ascii="Garamond" w:hAnsi="Garamond"/>
          <w:sz w:val="24"/>
          <w:szCs w:val="24"/>
        </w:rPr>
        <w:t>, zgodnie z</w:t>
      </w:r>
      <w:r w:rsidR="006E1082">
        <w:rPr>
          <w:rFonts w:ascii="Garamond" w:hAnsi="Garamond"/>
          <w:sz w:val="24"/>
          <w:szCs w:val="24"/>
        </w:rPr>
        <w:t xml:space="preserve"> przepisami ustawy </w:t>
      </w:r>
      <w:r w:rsidRPr="007237F6">
        <w:rPr>
          <w:rFonts w:ascii="Garamond" w:hAnsi="Garamond"/>
          <w:sz w:val="24"/>
          <w:szCs w:val="24"/>
        </w:rPr>
        <w:t xml:space="preserve"> Praw</w:t>
      </w:r>
      <w:r w:rsidR="005C1112">
        <w:rPr>
          <w:rFonts w:ascii="Garamond" w:hAnsi="Garamond"/>
          <w:sz w:val="24"/>
          <w:szCs w:val="24"/>
        </w:rPr>
        <w:t>o</w:t>
      </w:r>
      <w:r w:rsidRPr="007237F6">
        <w:rPr>
          <w:rFonts w:ascii="Garamond" w:hAnsi="Garamond"/>
          <w:sz w:val="24"/>
          <w:szCs w:val="24"/>
        </w:rPr>
        <w:t xml:space="preserve"> spółdzielcz</w:t>
      </w:r>
      <w:r w:rsidR="00C3712F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23960F7" w14:textId="77777777" w:rsidR="008372F8" w:rsidRDefault="008372F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Rady Nadzorczej, w tym członkowie Komitetu Audytu, podlegają ocenie odpowiedniości przez organ dokonujący ich wyboru, na zasadach określonych w Polityce oceny odpowiedniości kandydatów na członków Rady Nadzorczej, członków Rady Nadzorczej oraz Rady Nadzorczej.</w:t>
      </w:r>
    </w:p>
    <w:p w14:paraId="6D8224BA" w14:textId="77777777" w:rsidR="0007510A" w:rsidRPr="007237F6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E49B87A" w14:textId="0D2098CC" w:rsidR="008372F8" w:rsidRPr="007237F6" w:rsidRDefault="008372F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D36E481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Jeśli członkowie Rady Nadzorczej Banku zgłoszą zdanie odrębne, informację oraz powody zgłoszenia zamieszcza się w protokole. </w:t>
      </w:r>
    </w:p>
    <w:p w14:paraId="7DE90DF0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Banku w ramach monitorowania wykonywania czynności rewizji finansowej uzgadnia zasady przeprowadzania czynności przez podmiot uprawniony do badania sprawozdań finansowych, w tym w zakresie proponowanego planu czynności. </w:t>
      </w:r>
    </w:p>
    <w:p w14:paraId="70C8B1A9" w14:textId="19A5EA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Banku podczas przedstawiania wyników czynności rewizji finansowej przez podmiot uprawniony do badania sprawozdań finansowych wyraża swoją opinię o</w:t>
      </w:r>
      <w:r w:rsidR="008D015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sprawozdaniu finansowym, którego dotyczą czynności rewizji finansowej. </w:t>
      </w:r>
    </w:p>
    <w:p w14:paraId="5E549BCD" w14:textId="53C8F836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Współpraca Rady Nadzorczej z podmiotem uprawionym do badania sprawozdań finansowych jest udokumentowana. Rozwiązanie umowy z podmiotem uprawnionym do badania sprawozdań finansowych poddane jest ocenie </w:t>
      </w:r>
      <w:r w:rsidR="00410E5B">
        <w:rPr>
          <w:rFonts w:ascii="Garamond" w:hAnsi="Garamond"/>
          <w:sz w:val="24"/>
          <w:szCs w:val="24"/>
        </w:rPr>
        <w:t>R</w:t>
      </w:r>
      <w:r w:rsidRPr="007237F6">
        <w:rPr>
          <w:rFonts w:ascii="Garamond" w:hAnsi="Garamond"/>
          <w:sz w:val="24"/>
          <w:szCs w:val="24"/>
        </w:rPr>
        <w:t xml:space="preserve">ady </w:t>
      </w:r>
      <w:r w:rsidR="00410E5B">
        <w:rPr>
          <w:rFonts w:ascii="Garamond" w:hAnsi="Garamond"/>
          <w:sz w:val="24"/>
          <w:szCs w:val="24"/>
        </w:rPr>
        <w:t>N</w:t>
      </w:r>
      <w:r w:rsidRPr="007237F6">
        <w:rPr>
          <w:rFonts w:ascii="Garamond" w:hAnsi="Garamond"/>
          <w:sz w:val="24"/>
          <w:szCs w:val="24"/>
        </w:rPr>
        <w:t>adzorczej, który informację o przyczynach tego rozwiązania zamieszcza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corocznym raporcie zawierającym ocenę sprawozdań finansowych Banku. </w:t>
      </w:r>
    </w:p>
    <w:p w14:paraId="34C7EDDB" w14:textId="77777777" w:rsidR="0007510A" w:rsidRPr="007237F6" w:rsidRDefault="0007510A" w:rsidP="0007510A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6EE9E79A" w14:textId="6E5EE9FB" w:rsidR="008372F8" w:rsidRPr="007237F6" w:rsidRDefault="008372F8" w:rsidP="00B43536">
      <w:pPr>
        <w:pStyle w:val="Akapitzlist"/>
        <w:numPr>
          <w:ilvl w:val="0"/>
          <w:numId w:val="3"/>
        </w:numPr>
        <w:ind w:left="567" w:hanging="567"/>
        <w:jc w:val="center"/>
        <w:rPr>
          <w:rFonts w:ascii="Garamond" w:hAnsi="Garamond"/>
          <w:sz w:val="24"/>
          <w:szCs w:val="24"/>
        </w:rPr>
      </w:pPr>
    </w:p>
    <w:p w14:paraId="1E6700E0" w14:textId="3FA9C106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Każdy z członków Rady Nadzorczej powinien wykonywać swoją funkcję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sposób aktywny, wykazując się niezbędnym poziomem zaangażowania w pracę Rady Nadzorczej.</w:t>
      </w:r>
    </w:p>
    <w:p w14:paraId="709943A6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Niezbędny poziom zaangażowania przejawia się w poświęcaniu czasu w wymiarze umożliwiającym należyte wykonywanie zadań rady nadzorczej Banku. </w:t>
      </w:r>
    </w:p>
    <w:p w14:paraId="42C532F0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Pozostała aktywność zawodowa członka Rady Nadzorczej Banku nie odbywa się z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uszczerbkiem dla jakości i efektywności sprawowanego nadzoru. </w:t>
      </w:r>
    </w:p>
    <w:p w14:paraId="223FEFF0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Członek Rady Nadzorczej Banku powstrzymuje się od podejmowania aktywności zawodowej lub pozazawodowej, która mogłaby prowadzić do powstania konfliktu interesów lub w inny sposób wpływać negatywnie na jego reputację jako członka Rady Nadzorczej Banku.</w:t>
      </w:r>
    </w:p>
    <w:p w14:paraId="09E4A05C" w14:textId="52E4A561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Zasady ograniczania konfliktu interesów określone są w </w:t>
      </w:r>
      <w:r w:rsidR="00B43536" w:rsidRPr="007237F6">
        <w:rPr>
          <w:rFonts w:ascii="Garamond" w:hAnsi="Garamond"/>
          <w:sz w:val="24"/>
          <w:szCs w:val="24"/>
        </w:rPr>
        <w:t>odpowiednich regulacjach</w:t>
      </w:r>
      <w:r w:rsidRPr="007237F6">
        <w:rPr>
          <w:rFonts w:ascii="Garamond" w:hAnsi="Garamond"/>
          <w:sz w:val="24"/>
          <w:szCs w:val="24"/>
        </w:rPr>
        <w:t xml:space="preserve"> wewnętrz</w:t>
      </w:r>
      <w:r w:rsidR="00B96145">
        <w:rPr>
          <w:rFonts w:ascii="Garamond" w:hAnsi="Garamond"/>
          <w:sz w:val="24"/>
          <w:szCs w:val="24"/>
        </w:rPr>
        <w:t>nych</w:t>
      </w:r>
      <w:r w:rsidRPr="007237F6">
        <w:rPr>
          <w:rFonts w:ascii="Garamond" w:hAnsi="Garamond"/>
          <w:sz w:val="24"/>
          <w:szCs w:val="24"/>
        </w:rPr>
        <w:t xml:space="preserve"> określających między innymi zasady identyfikacji, zarządzania oraz zapobiegania konfliktom interesów, a także zasady wyłączania członka Rady Nadzorczej Banku w przypadku zaistnienia konfliktu interesów lub możliwości jego zaistnienia. </w:t>
      </w:r>
    </w:p>
    <w:p w14:paraId="28A96038" w14:textId="77777777" w:rsidR="005447E2" w:rsidRPr="007237F6" w:rsidRDefault="005447E2" w:rsidP="005447E2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22E8988E" w14:textId="19AF6C3A" w:rsidR="008372F8" w:rsidRPr="007237F6" w:rsidRDefault="008372F8" w:rsidP="005447E2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0BF38DCE" w14:textId="77777777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Nadzór wykonywany przez Radę Nadzorczą Banku ma charakter stały, a posiedzenia Rady Nadzorczej Banku odbywają się w zależności od potrzeb, nie rzadziej niż 6 razy w roku.</w:t>
      </w:r>
    </w:p>
    <w:p w14:paraId="1993D056" w14:textId="5EE7BBE2" w:rsidR="008372F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przypadku stwierdzenia w toku wykonywania nadzoru nadużyć, poważnych błędów,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tym mających znaczący wpływ na treść informacji finansowej lub innych poważnych nieprawidłowości w funkcjonowaniu </w:t>
      </w:r>
      <w:r w:rsidR="00753028" w:rsidRPr="007237F6">
        <w:rPr>
          <w:rFonts w:ascii="Garamond" w:hAnsi="Garamond"/>
          <w:sz w:val="24"/>
          <w:szCs w:val="24"/>
        </w:rPr>
        <w:t>Banku Rada</w:t>
      </w:r>
      <w:r w:rsidRPr="007237F6">
        <w:rPr>
          <w:rFonts w:ascii="Garamond" w:hAnsi="Garamond"/>
          <w:sz w:val="24"/>
          <w:szCs w:val="24"/>
        </w:rPr>
        <w:t xml:space="preserve"> Nadzorcza podejmuje odpowiednie działania, w szczególności powinna zażądać od Zarządu wyjaśnień i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zalecić mu wprowadzenie skutecznych rozwiązań przeciwdziałających wystąpieniu podobnych nieprawidłowości w przyszłości. </w:t>
      </w:r>
    </w:p>
    <w:p w14:paraId="56AC2512" w14:textId="3632043B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Nadzorcza, jeżeli jest to niezbędne dla sprawowania prawidłowego i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efektywnego nadzoru, może wystąpić do </w:t>
      </w:r>
      <w:r w:rsidR="0041628B" w:rsidRPr="007237F6">
        <w:rPr>
          <w:rFonts w:ascii="Garamond" w:hAnsi="Garamond"/>
          <w:sz w:val="24"/>
          <w:szCs w:val="24"/>
        </w:rPr>
        <w:t>Zarządu o</w:t>
      </w:r>
      <w:r w:rsidRPr="007237F6">
        <w:rPr>
          <w:rFonts w:ascii="Garamond" w:hAnsi="Garamond"/>
          <w:sz w:val="24"/>
          <w:szCs w:val="24"/>
        </w:rPr>
        <w:t xml:space="preserve"> powołanie wybranego podmiotu zewnętrznego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celu przeprowadzenia określonych analiz lub zasięgnięcia jego opinii w określonych sprawach. </w:t>
      </w:r>
    </w:p>
    <w:p w14:paraId="37D90FFE" w14:textId="77777777" w:rsidR="005447E2" w:rsidRPr="007237F6" w:rsidRDefault="005447E2" w:rsidP="005447E2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2516F55D" w14:textId="77777777" w:rsidR="003F29F4" w:rsidRPr="007237F6" w:rsidRDefault="003F29F4" w:rsidP="005447E2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7CCFB1BF" w14:textId="09EA5FD4" w:rsidR="003F29F4" w:rsidRPr="007237F6" w:rsidRDefault="003F29F4" w:rsidP="00B43536">
      <w:pPr>
        <w:tabs>
          <w:tab w:val="left" w:pos="142"/>
        </w:tabs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przypadku niepełnego składu Rady Nadzorczej, mniejszego niż minimalna liczba członków wskazana w Statucie, konieczne jest zwołanie Zebrania Grupy Członkowskiej w celu niezwłocznego uzupełnienia składu Rady Nadzorczej. </w:t>
      </w:r>
    </w:p>
    <w:p w14:paraId="46E2D8BC" w14:textId="77777777" w:rsidR="003F29F4" w:rsidRPr="007237F6" w:rsidRDefault="003F29F4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14:paraId="07A170F4" w14:textId="20669002" w:rsidR="003F29F4" w:rsidRPr="007237F6" w:rsidRDefault="003F29F4" w:rsidP="005447E2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307479DC" w14:textId="4C2F1FEE" w:rsidR="0041628B" w:rsidRPr="001C04EB" w:rsidRDefault="003F29F4" w:rsidP="001C04E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</w:t>
      </w:r>
      <w:r w:rsidR="0041628B" w:rsidRPr="007237F6">
        <w:rPr>
          <w:rFonts w:ascii="Garamond" w:hAnsi="Garamond"/>
          <w:sz w:val="24"/>
          <w:szCs w:val="24"/>
        </w:rPr>
        <w:t>Banku będzie</w:t>
      </w:r>
      <w:r w:rsidRPr="007237F6">
        <w:rPr>
          <w:rFonts w:ascii="Garamond" w:hAnsi="Garamond"/>
          <w:sz w:val="24"/>
          <w:szCs w:val="24"/>
        </w:rPr>
        <w:t xml:space="preserve"> dokonywała regularnej oceny stosowania zasad wprowadzonych niniejszym dokumentem, a wyniki tej oceny będą udostępniane na stronie internetowej Banku oraz przekazywane pozostałym organom Banku.</w:t>
      </w:r>
    </w:p>
    <w:p w14:paraId="14EB178E" w14:textId="77777777" w:rsidR="0041628B" w:rsidRDefault="0041628B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7D41E698" w14:textId="63E11026" w:rsidR="003F29F4" w:rsidRPr="007237F6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6</w:t>
      </w:r>
    </w:p>
    <w:p w14:paraId="64384D54" w14:textId="77777777" w:rsidR="003F29F4" w:rsidRPr="007237F6" w:rsidRDefault="003F29F4" w:rsidP="007237F6">
      <w:pPr>
        <w:spacing w:line="276" w:lineRule="auto"/>
        <w:ind w:left="360"/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w zakresie outsourcingu</w:t>
      </w:r>
    </w:p>
    <w:p w14:paraId="5EFB6FF2" w14:textId="77777777" w:rsidR="003F29F4" w:rsidRPr="007237F6" w:rsidRDefault="003F29F4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F028E59" w14:textId="322EF428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01BDAB3" w14:textId="77777777" w:rsidR="003F29F4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Banku funkcjonuje </w:t>
      </w:r>
      <w:r w:rsidR="003F29F4" w:rsidRPr="007237F6">
        <w:rPr>
          <w:rFonts w:ascii="Garamond" w:hAnsi="Garamond"/>
          <w:sz w:val="24"/>
          <w:szCs w:val="24"/>
        </w:rPr>
        <w:t>P</w:t>
      </w:r>
      <w:r w:rsidRPr="007237F6">
        <w:rPr>
          <w:rFonts w:ascii="Garamond" w:hAnsi="Garamond"/>
          <w:sz w:val="24"/>
          <w:szCs w:val="24"/>
        </w:rPr>
        <w:t>olityka w zakresie outsourcing</w:t>
      </w:r>
      <w:r w:rsidR="003F29F4" w:rsidRPr="007237F6">
        <w:rPr>
          <w:rFonts w:ascii="Garamond" w:hAnsi="Garamond"/>
          <w:sz w:val="24"/>
          <w:szCs w:val="24"/>
        </w:rPr>
        <w:t xml:space="preserve">u. </w:t>
      </w:r>
    </w:p>
    <w:p w14:paraId="57A1F44B" w14:textId="2D728839" w:rsidR="003F29F4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uwzględnia wpływ outsourcingu na działalność Banku oraz na poszczególne rodzaje ryzyka (np. ryzyko operacyjne, w tym prawne i informatyczne; ryzyko utraty reputacji; oraz ryzyko koncentracji), a także rozwiązania w zakresie sprawozdawczości i monitorowania, które należy wdrażać od etapu rozważania umowy outsourcingowej do zakończenia jej obowiązywania (w tym podczas analizy kosztów i korzyści outsourcingu, zawierania umowy outsourcingowej, realizacji umowy do chwili jej wygaśnięcia, wdrażania planów awaryjnych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strategii wyjścia). </w:t>
      </w:r>
    </w:p>
    <w:p w14:paraId="7B25D754" w14:textId="77777777" w:rsidR="003F29F4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pozostaje w pełni odpowiedzialny za wszystkie usługi i rodzaje działalności podlegające outsourcingowi oraz wynikające z nich decyzje kierownictwa. </w:t>
      </w:r>
    </w:p>
    <w:p w14:paraId="75C2BBE8" w14:textId="77777777" w:rsidR="003F29F4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Outsourcing nie utrudnia skutecznego nadzoru nad instytucją oraz nie narusza żadnych ograniczeń nadzorczych dotyczących usług i działalności. </w:t>
      </w:r>
    </w:p>
    <w:p w14:paraId="4AAFA000" w14:textId="1924D5B7" w:rsidR="003F29F4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wyborze istotnego dostawcy usług zewnętrznych lub w przypadku outsourcingu usług </w:t>
      </w:r>
      <w:r w:rsidR="003F29F4" w:rsidRPr="007237F6">
        <w:rPr>
          <w:rFonts w:ascii="Garamond" w:hAnsi="Garamond"/>
          <w:sz w:val="24"/>
          <w:szCs w:val="24"/>
        </w:rPr>
        <w:t xml:space="preserve">Bank winien </w:t>
      </w:r>
      <w:r w:rsidRPr="007237F6">
        <w:rPr>
          <w:rFonts w:ascii="Garamond" w:hAnsi="Garamond"/>
          <w:sz w:val="24"/>
          <w:szCs w:val="24"/>
        </w:rPr>
        <w:t>uwzględnić, czy usługodawca ustanowił odpowiednie standardy etyczne lub kodeks postępowania</w:t>
      </w:r>
      <w:r w:rsidR="00C3712F">
        <w:rPr>
          <w:rFonts w:ascii="Garamond" w:hAnsi="Garamond"/>
          <w:sz w:val="24"/>
          <w:szCs w:val="24"/>
        </w:rPr>
        <w:t xml:space="preserve">. </w:t>
      </w:r>
    </w:p>
    <w:p w14:paraId="4E9A0F6B" w14:textId="77777777" w:rsidR="003F29F4" w:rsidRPr="007237F6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7</w:t>
      </w:r>
    </w:p>
    <w:p w14:paraId="074E5989" w14:textId="42449C1B" w:rsidR="003F29F4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Kultura ryzyka</w:t>
      </w:r>
      <w:r w:rsidR="008B6B2D" w:rsidRPr="007237F6">
        <w:rPr>
          <w:rFonts w:ascii="Garamond" w:hAnsi="Garamond"/>
          <w:b/>
          <w:sz w:val="24"/>
          <w:szCs w:val="24"/>
        </w:rPr>
        <w:t xml:space="preserve"> i standardy etyczne</w:t>
      </w:r>
    </w:p>
    <w:p w14:paraId="5D258C2D" w14:textId="77777777" w:rsidR="005447E2" w:rsidRPr="007237F6" w:rsidRDefault="005447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3CD9231" w14:textId="77777777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06E4F32" w14:textId="77777777" w:rsidR="003F29F4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funkcjonuje zintegrowana, obejmująca całość działalności Banku kultura ryzyka oparta na pełnym zrozumieniu i całościowym oglądzie ryzyka, na jakie Bank jest narażony oraz sposobu zarządzania nim, uwzględniając skłonność do podejmowania ryzyka</w:t>
      </w:r>
      <w:r w:rsidR="008B6B2D" w:rsidRPr="007237F6">
        <w:rPr>
          <w:rFonts w:ascii="Garamond" w:hAnsi="Garamond"/>
          <w:sz w:val="24"/>
          <w:szCs w:val="24"/>
        </w:rPr>
        <w:t>.</w:t>
      </w:r>
    </w:p>
    <w:p w14:paraId="02E11280" w14:textId="7B1FA510" w:rsidR="003F29F4" w:rsidRPr="007237F6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rozwija kulturę ryzyka poprzez w</w:t>
      </w:r>
      <w:r w:rsidR="00753028">
        <w:rPr>
          <w:rFonts w:ascii="Garamond" w:hAnsi="Garamond"/>
          <w:sz w:val="24"/>
          <w:szCs w:val="24"/>
        </w:rPr>
        <w:t>d</w:t>
      </w:r>
      <w:r w:rsidRPr="007237F6">
        <w:rPr>
          <w:rFonts w:ascii="Garamond" w:hAnsi="Garamond"/>
          <w:sz w:val="24"/>
          <w:szCs w:val="24"/>
        </w:rPr>
        <w:t>rażanie polityki, komunikacji i szkoleń dla pracowników dotyczących strategii i profilu instytucji, a także dostosowuje komunikację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szkolenia dla pracowników w celu uwzględnienia obowiązków tych pracowników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zakresie podejmowania ryzyka i zarządzania nim. </w:t>
      </w:r>
    </w:p>
    <w:p w14:paraId="0F8F6A1B" w14:textId="77777777" w:rsidR="008B6B2D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Pracownicy powinni mieć pełną świadomość swoich obowiązków związanych z</w:t>
      </w:r>
      <w:r w:rsidR="008B6B2D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zarządzaniem ryzykiem. </w:t>
      </w:r>
    </w:p>
    <w:p w14:paraId="74FCAED1" w14:textId="77777777" w:rsidR="0007510A" w:rsidRPr="007237F6" w:rsidRDefault="0007510A" w:rsidP="0007510A">
      <w:pPr>
        <w:pStyle w:val="Akapitzlist"/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0BE64ABB" w14:textId="21C5321B" w:rsidR="002A16E2" w:rsidRDefault="002A16E2" w:rsidP="00B43536">
      <w:pPr>
        <w:pStyle w:val="Akapitzlist"/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Kultura ryzyka obejmuje w szczególności</w:t>
      </w:r>
      <w:r w:rsidR="008B6B2D" w:rsidRPr="007237F6">
        <w:rPr>
          <w:rFonts w:ascii="Garamond" w:hAnsi="Garamond"/>
          <w:sz w:val="24"/>
          <w:szCs w:val="24"/>
        </w:rPr>
        <w:t>:</w:t>
      </w:r>
      <w:r w:rsidRPr="007237F6">
        <w:rPr>
          <w:rFonts w:ascii="Garamond" w:hAnsi="Garamond"/>
          <w:sz w:val="24"/>
          <w:szCs w:val="24"/>
        </w:rPr>
        <w:t xml:space="preserve"> znajomość i zrozumienie podstawowych wartości instytucji przez pracowników na wszystkich szczeblach, a także </w:t>
      </w:r>
      <w:r w:rsidR="0041628B" w:rsidRPr="007237F6">
        <w:rPr>
          <w:rFonts w:ascii="Garamond" w:hAnsi="Garamond"/>
          <w:sz w:val="24"/>
          <w:szCs w:val="24"/>
        </w:rPr>
        <w:t>świadomość odpowiedzialności</w:t>
      </w:r>
      <w:r w:rsidRPr="007237F6">
        <w:rPr>
          <w:rFonts w:ascii="Garamond" w:hAnsi="Garamond"/>
          <w:sz w:val="24"/>
          <w:szCs w:val="24"/>
        </w:rPr>
        <w:t xml:space="preserve"> za swoje działania związane z zachowaniem Banku w zakresie podejmowania ryzyka, skuteczną komunikację i krytykę pomiędzy pracownikami, a także stosowanie odpowiednich zachęt w dostosowywaniu zachowań w zakresie podejmowania ryzyka do profilu ryzyka </w:t>
      </w:r>
      <w:r w:rsidR="008B6B2D" w:rsidRPr="007237F6">
        <w:rPr>
          <w:rFonts w:ascii="Garamond" w:hAnsi="Garamond"/>
          <w:sz w:val="24"/>
          <w:szCs w:val="24"/>
        </w:rPr>
        <w:t xml:space="preserve">Banku </w:t>
      </w:r>
      <w:r w:rsidRPr="007237F6">
        <w:rPr>
          <w:rFonts w:ascii="Garamond" w:hAnsi="Garamond"/>
          <w:sz w:val="24"/>
          <w:szCs w:val="24"/>
        </w:rPr>
        <w:t>i je</w:t>
      </w:r>
      <w:r w:rsidR="008B6B2D" w:rsidRPr="007237F6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długoterminowych interesów. </w:t>
      </w:r>
    </w:p>
    <w:p w14:paraId="7C598264" w14:textId="77777777" w:rsidR="001C04EB" w:rsidRPr="007237F6" w:rsidRDefault="001C04EB" w:rsidP="001C04EB">
      <w:pPr>
        <w:pStyle w:val="Akapitzlist"/>
        <w:tabs>
          <w:tab w:val="left" w:pos="567"/>
        </w:tabs>
        <w:ind w:left="567"/>
        <w:jc w:val="both"/>
        <w:rPr>
          <w:rFonts w:ascii="Garamond" w:hAnsi="Garamond"/>
          <w:sz w:val="24"/>
          <w:szCs w:val="24"/>
        </w:rPr>
      </w:pPr>
    </w:p>
    <w:p w14:paraId="1CCDA5E7" w14:textId="1CF4423D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8624AB7" w14:textId="4EA71592" w:rsidR="008B6B2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 opracowuje i przyjmuje wysokie standardy etyczne i zawodowe, które mają na celu zm</w:t>
      </w:r>
      <w:r w:rsidR="008B6B2D" w:rsidRPr="007237F6">
        <w:rPr>
          <w:rFonts w:ascii="Garamond" w:hAnsi="Garamond"/>
          <w:sz w:val="24"/>
          <w:szCs w:val="24"/>
        </w:rPr>
        <w:t>inimalizowanie</w:t>
      </w:r>
      <w:r w:rsidRPr="007237F6">
        <w:rPr>
          <w:rFonts w:ascii="Garamond" w:hAnsi="Garamond"/>
          <w:sz w:val="24"/>
          <w:szCs w:val="24"/>
        </w:rPr>
        <w:t xml:space="preserve"> ryzyka, na jakie narażon</w:t>
      </w:r>
      <w:r w:rsidR="00F31381">
        <w:rPr>
          <w:rFonts w:ascii="Garamond" w:hAnsi="Garamond"/>
          <w:sz w:val="24"/>
          <w:szCs w:val="24"/>
        </w:rPr>
        <w:t>y</w:t>
      </w:r>
      <w:r w:rsidRPr="007237F6">
        <w:rPr>
          <w:rFonts w:ascii="Garamond" w:hAnsi="Garamond"/>
          <w:sz w:val="24"/>
          <w:szCs w:val="24"/>
        </w:rPr>
        <w:t xml:space="preserve"> jest</w:t>
      </w:r>
      <w:r w:rsidR="008B6B2D" w:rsidRPr="007237F6">
        <w:rPr>
          <w:rFonts w:ascii="Garamond" w:hAnsi="Garamond"/>
          <w:sz w:val="24"/>
          <w:szCs w:val="24"/>
        </w:rPr>
        <w:t xml:space="preserve"> Bank</w:t>
      </w:r>
      <w:r w:rsidRPr="007237F6">
        <w:rPr>
          <w:rFonts w:ascii="Garamond" w:hAnsi="Garamond"/>
          <w:sz w:val="24"/>
          <w:szCs w:val="24"/>
        </w:rPr>
        <w:t>, w szczególności ryzyka operacyjnego i utraty reputacji, które mogą wywierać znaczący niekorzystny wpływ na rentowność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stabilność </w:t>
      </w:r>
      <w:r w:rsidR="008B6B2D" w:rsidRPr="007237F6">
        <w:rPr>
          <w:rFonts w:ascii="Garamond" w:hAnsi="Garamond"/>
          <w:sz w:val="24"/>
          <w:szCs w:val="24"/>
        </w:rPr>
        <w:t xml:space="preserve">Banku </w:t>
      </w:r>
      <w:r w:rsidRPr="007237F6">
        <w:rPr>
          <w:rFonts w:ascii="Garamond" w:hAnsi="Garamond"/>
          <w:sz w:val="24"/>
          <w:szCs w:val="24"/>
        </w:rPr>
        <w:t xml:space="preserve">w wyniku kar pieniężnych, kosztów postępowań sądowych, ograniczeń nałożonych przez właściwe organy, innych konsekwencji finansowych i karnych, a także utraty wartości marki i zaufania konsumentów, a także dokłada wszelkich starań by były przestrzegane i upowszechniane przez pracowników. </w:t>
      </w:r>
    </w:p>
    <w:p w14:paraId="55145DE1" w14:textId="14BED0F9" w:rsidR="0041628B" w:rsidRDefault="002A16E2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  <w:lang w:eastAsia="pl-PL"/>
        </w:rPr>
        <w:t>Bank monitoruje zgodność z przyjętymi standardami oraz zapewnia ich przestrzeganie i</w:t>
      </w:r>
      <w:r w:rsidR="00E952D7">
        <w:rPr>
          <w:rFonts w:ascii="Garamond" w:hAnsi="Garamond"/>
          <w:sz w:val="24"/>
          <w:szCs w:val="24"/>
          <w:lang w:eastAsia="pl-PL"/>
        </w:rPr>
        <w:t> </w:t>
      </w:r>
      <w:r w:rsidRPr="007237F6">
        <w:rPr>
          <w:rFonts w:ascii="Garamond" w:hAnsi="Garamond"/>
          <w:sz w:val="24"/>
          <w:szCs w:val="24"/>
          <w:lang w:eastAsia="pl-PL"/>
        </w:rPr>
        <w:t>świadomość poprzez wprowadzenie jasnej i udokumentowanej polityk</w:t>
      </w:r>
      <w:r w:rsidR="008B6B2D" w:rsidRPr="007237F6">
        <w:rPr>
          <w:rFonts w:ascii="Garamond" w:hAnsi="Garamond"/>
          <w:sz w:val="24"/>
          <w:szCs w:val="24"/>
          <w:lang w:eastAsia="pl-PL"/>
        </w:rPr>
        <w:t>i</w:t>
      </w:r>
      <w:r w:rsidRPr="007237F6">
        <w:rPr>
          <w:rFonts w:ascii="Garamond" w:hAnsi="Garamond"/>
          <w:sz w:val="24"/>
          <w:szCs w:val="24"/>
          <w:lang w:eastAsia="pl-PL"/>
        </w:rPr>
        <w:t xml:space="preserve"> przestrzegania wysokich </w:t>
      </w:r>
      <w:r w:rsidRPr="007237F6">
        <w:rPr>
          <w:rFonts w:ascii="Garamond" w:hAnsi="Garamond"/>
          <w:sz w:val="24"/>
          <w:szCs w:val="24"/>
        </w:rPr>
        <w:t>standardów etycznych i zawodowych, jak również zapewnienie odpowiednich szkoleń pracowników z tego zakresu</w:t>
      </w:r>
      <w:r w:rsidR="008B6B2D" w:rsidRPr="007237F6">
        <w:rPr>
          <w:rFonts w:ascii="Garamond" w:hAnsi="Garamond"/>
          <w:sz w:val="24"/>
          <w:szCs w:val="24"/>
        </w:rPr>
        <w:t>.</w:t>
      </w:r>
    </w:p>
    <w:p w14:paraId="7763A098" w14:textId="77777777" w:rsidR="001C04EB" w:rsidRPr="001C04EB" w:rsidRDefault="001C04EB" w:rsidP="001C04E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58E22909" w14:textId="77777777" w:rsidR="008B6B2D" w:rsidRPr="007237F6" w:rsidRDefault="008B6B2D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8</w:t>
      </w:r>
    </w:p>
    <w:p w14:paraId="774D3614" w14:textId="77777777" w:rsidR="008B6B2D" w:rsidRPr="007237F6" w:rsidRDefault="008B6B2D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Konflikt interesów</w:t>
      </w:r>
    </w:p>
    <w:p w14:paraId="6820881C" w14:textId="77777777" w:rsidR="002A16E2" w:rsidRPr="007237F6" w:rsidRDefault="002A16E2" w:rsidP="007237F6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129B46" w14:textId="66BB80AF" w:rsidR="008B6B2D" w:rsidRPr="007237F6" w:rsidRDefault="008B6B2D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BDBA4FF" w14:textId="325D394A" w:rsidR="008B6B2D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obowi</w:t>
      </w:r>
      <w:r w:rsidR="008B6B2D" w:rsidRPr="007237F6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>zuj</w:t>
      </w:r>
      <w:r w:rsidR="00C3712F">
        <w:rPr>
          <w:rFonts w:ascii="Garamond" w:hAnsi="Garamond"/>
          <w:sz w:val="24"/>
          <w:szCs w:val="24"/>
        </w:rPr>
        <w:t xml:space="preserve">ą odpowiednie regulacje, mające na </w:t>
      </w:r>
      <w:r w:rsidRPr="007237F6">
        <w:rPr>
          <w:rFonts w:ascii="Garamond" w:hAnsi="Garamond"/>
          <w:sz w:val="24"/>
          <w:szCs w:val="24"/>
        </w:rPr>
        <w:t>celu identyfikacj</w:t>
      </w:r>
      <w:r w:rsidR="00C3712F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 i ocen</w:t>
      </w:r>
      <w:r w:rsidR="00C3712F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 rzeczywistych oraz potenc</w:t>
      </w:r>
      <w:r w:rsidR="00C3712F">
        <w:rPr>
          <w:rFonts w:ascii="Garamond" w:hAnsi="Garamond"/>
          <w:sz w:val="24"/>
          <w:szCs w:val="24"/>
        </w:rPr>
        <w:t>ja</w:t>
      </w:r>
      <w:r w:rsidRPr="007237F6">
        <w:rPr>
          <w:rFonts w:ascii="Garamond" w:hAnsi="Garamond"/>
          <w:sz w:val="24"/>
          <w:szCs w:val="24"/>
        </w:rPr>
        <w:t>lnych konfliktów interesów na poziomie instytucjonalnym, zarządzania nimi i ich minimalizacji lub zapobiegania im opracowan</w:t>
      </w:r>
      <w:r w:rsidR="00753028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>, ustanowion</w:t>
      </w:r>
      <w:r w:rsidR="00753028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 i</w:t>
      </w:r>
      <w:r w:rsidR="00C3712F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zatwierdzon</w:t>
      </w:r>
      <w:r w:rsidR="00753028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 przez Zarząd. </w:t>
      </w:r>
    </w:p>
    <w:p w14:paraId="745598EF" w14:textId="0ADE0FFC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Niezależnie od przyjęt</w:t>
      </w:r>
      <w:r w:rsidR="00C3712F">
        <w:rPr>
          <w:rFonts w:ascii="Garamond" w:hAnsi="Garamond"/>
          <w:sz w:val="24"/>
          <w:szCs w:val="24"/>
        </w:rPr>
        <w:t>ych</w:t>
      </w:r>
      <w:r w:rsidRPr="007237F6">
        <w:rPr>
          <w:rFonts w:ascii="Garamond" w:hAnsi="Garamond"/>
          <w:sz w:val="24"/>
          <w:szCs w:val="24"/>
        </w:rPr>
        <w:t xml:space="preserve"> w tym zak</w:t>
      </w:r>
      <w:r w:rsidR="008B6B2D" w:rsidRPr="007237F6">
        <w:rPr>
          <w:rFonts w:ascii="Garamond" w:hAnsi="Garamond"/>
          <w:sz w:val="24"/>
          <w:szCs w:val="24"/>
        </w:rPr>
        <w:t>r</w:t>
      </w:r>
      <w:r w:rsidRPr="007237F6">
        <w:rPr>
          <w:rFonts w:ascii="Garamond" w:hAnsi="Garamond"/>
          <w:sz w:val="24"/>
          <w:szCs w:val="24"/>
        </w:rPr>
        <w:t>esie</w:t>
      </w:r>
      <w:r w:rsidR="00F87AB8">
        <w:rPr>
          <w:rFonts w:ascii="Garamond" w:hAnsi="Garamond"/>
          <w:sz w:val="24"/>
          <w:szCs w:val="24"/>
        </w:rPr>
        <w:t xml:space="preserve"> regulacji</w:t>
      </w:r>
      <w:r w:rsidRPr="007237F6">
        <w:rPr>
          <w:rFonts w:ascii="Garamond" w:hAnsi="Garamond"/>
          <w:sz w:val="24"/>
          <w:szCs w:val="24"/>
        </w:rPr>
        <w:t xml:space="preserve">, Bank w ramach swoich zasad organizacyjnych i administracyjnych podejmuje odpowiednie kroki w celu wykluczenia niekorzystnego wpływu konfliktów interesów na interesy </w:t>
      </w:r>
      <w:r w:rsidR="00AA35A4">
        <w:rPr>
          <w:rFonts w:ascii="Garamond" w:hAnsi="Garamond"/>
          <w:sz w:val="24"/>
          <w:szCs w:val="24"/>
        </w:rPr>
        <w:t xml:space="preserve">jego </w:t>
      </w:r>
      <w:r w:rsidRPr="007237F6">
        <w:rPr>
          <w:rFonts w:ascii="Garamond" w:hAnsi="Garamond"/>
          <w:sz w:val="24"/>
          <w:szCs w:val="24"/>
        </w:rPr>
        <w:t>klientów, w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szczególności poprzez: </w:t>
      </w:r>
    </w:p>
    <w:p w14:paraId="12D901E9" w14:textId="759539E8" w:rsidR="008B6B2D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odpowiedni podział obowiązków, np. powierzenie czynności będących w konflikcie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związku z przetwarzaniem transakcji lub świadczeniem usług różnym osobom bądź powierzenie odpowiedzialności za nadzór i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sprawozdawczość w odniesieniu do czynności będących w konflikcie różnym osobom; </w:t>
      </w:r>
    </w:p>
    <w:p w14:paraId="2A2B0F81" w14:textId="77777777" w:rsidR="008B6B2D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ustanowienie barier informacyjnych, np. przez fizyczne rozdzielenie określonych linii biznesowych lub jednostek; oraz </w:t>
      </w:r>
    </w:p>
    <w:p w14:paraId="50FE82C2" w14:textId="044E04EF" w:rsidR="002A16E2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ustanowienie odpowiednich procedur w odniesieniu do transakcji dokonywanych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jednostkami powiązanymi, np. wymogu, aby były one dokonywane na zasadach rynkowych. </w:t>
      </w:r>
    </w:p>
    <w:p w14:paraId="30C76B63" w14:textId="77777777" w:rsidR="00716912" w:rsidRDefault="00716912" w:rsidP="00716912">
      <w:pPr>
        <w:jc w:val="both"/>
        <w:rPr>
          <w:rFonts w:ascii="Garamond" w:hAnsi="Garamond"/>
          <w:sz w:val="24"/>
          <w:szCs w:val="24"/>
        </w:rPr>
      </w:pPr>
    </w:p>
    <w:p w14:paraId="0E865D66" w14:textId="77777777" w:rsidR="00716912" w:rsidRDefault="00716912" w:rsidP="00716912">
      <w:pPr>
        <w:jc w:val="both"/>
        <w:rPr>
          <w:rFonts w:ascii="Garamond" w:hAnsi="Garamond"/>
          <w:sz w:val="24"/>
          <w:szCs w:val="24"/>
        </w:rPr>
      </w:pPr>
    </w:p>
    <w:p w14:paraId="53B9BA5E" w14:textId="77777777" w:rsidR="00716912" w:rsidRDefault="00716912" w:rsidP="00716912">
      <w:pPr>
        <w:jc w:val="both"/>
        <w:rPr>
          <w:rFonts w:ascii="Garamond" w:hAnsi="Garamond"/>
          <w:sz w:val="24"/>
          <w:szCs w:val="24"/>
        </w:rPr>
      </w:pPr>
    </w:p>
    <w:p w14:paraId="172F775A" w14:textId="77777777" w:rsidR="00716912" w:rsidRPr="00716912" w:rsidRDefault="00716912" w:rsidP="00716912">
      <w:pPr>
        <w:jc w:val="both"/>
        <w:rPr>
          <w:rFonts w:ascii="Garamond" w:hAnsi="Garamond"/>
          <w:sz w:val="24"/>
          <w:szCs w:val="24"/>
        </w:rPr>
      </w:pPr>
    </w:p>
    <w:p w14:paraId="7BDFA848" w14:textId="4E47D49B" w:rsidR="00FA4E1D" w:rsidRDefault="00FA4E1D" w:rsidP="00FA4E1D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4EEB1D79" w14:textId="4613C53E" w:rsidR="008B6B2D" w:rsidRPr="007237F6" w:rsidRDefault="008B6B2D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2CD6925C" w14:textId="376E8ACC" w:rsidR="002A16E2" w:rsidRDefault="002A16E2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obowi</w:t>
      </w:r>
      <w:r w:rsidR="003F7A2A" w:rsidRPr="007237F6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>zuje skuteczna polityka w celu identyfikacji i oceny rzeczywistych oraz potencjalnych konfliktów między interesami instytucji a prywatnymi interesami pracowników i ich minimalizacji lub zapobiegania im; opracowana przez Zarząd.</w:t>
      </w:r>
    </w:p>
    <w:p w14:paraId="3EB9A060" w14:textId="77777777" w:rsidR="003F7A2A" w:rsidRPr="007237F6" w:rsidRDefault="003F7A2A" w:rsidP="001C04EB">
      <w:pPr>
        <w:spacing w:line="276" w:lineRule="auto"/>
        <w:rPr>
          <w:rFonts w:ascii="Garamond" w:hAnsi="Garamond"/>
          <w:sz w:val="24"/>
          <w:szCs w:val="24"/>
        </w:rPr>
      </w:pPr>
    </w:p>
    <w:p w14:paraId="724A4B41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9</w:t>
      </w:r>
    </w:p>
    <w:p w14:paraId="2735E849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wynagradzania</w:t>
      </w:r>
    </w:p>
    <w:p w14:paraId="5A1D131B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872E3CD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A9A0603" w14:textId="523F9D2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prowadzi przejrzystą politykę wynagradzania członków organ</w:t>
      </w:r>
      <w:r w:rsidR="00FA4E1D">
        <w:rPr>
          <w:rFonts w:ascii="Garamond" w:hAnsi="Garamond"/>
          <w:sz w:val="24"/>
          <w:szCs w:val="24"/>
        </w:rPr>
        <w:t>ów</w:t>
      </w:r>
      <w:r w:rsidRPr="007237F6">
        <w:rPr>
          <w:rFonts w:ascii="Garamond" w:hAnsi="Garamond"/>
          <w:sz w:val="24"/>
          <w:szCs w:val="24"/>
        </w:rPr>
        <w:t xml:space="preserve"> Rady Nadzorczej i Zarządu, a także osób pełniących kluczowe funkcje. Zasady wynagradzania zostały określone w odpowiednich wewnętrznych aktach prawnych Banku (polityka wynagradzania). </w:t>
      </w:r>
    </w:p>
    <w:p w14:paraId="61E5996C" w14:textId="7777777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ustalaniu polityki wynagradzania uwzględniana jest sytuacja finansowa Banku. </w:t>
      </w:r>
    </w:p>
    <w:p w14:paraId="403BB97F" w14:textId="5C82435C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przygotowuje i przedstawia Zebraniu Przedstawicieli, raz w roku, raport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oceny funkcjonowania polityki wynagradzania w Banku. </w:t>
      </w:r>
    </w:p>
    <w:p w14:paraId="4E48213E" w14:textId="3AFA61B6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Zebranie Przedstawicieli dokonuje oceny, czy ustalona polityka wynagradzania sprzyja rozwojowi i bezpieczeństwu działania Banku. </w:t>
      </w:r>
    </w:p>
    <w:p w14:paraId="7355ADC3" w14:textId="77777777" w:rsidR="0041628B" w:rsidRPr="007237F6" w:rsidRDefault="0041628B" w:rsidP="0041628B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403014C6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F99D430" w14:textId="7AF35B5A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Wynagrodzenie członków Rady Nadzorczej ustala się adekwatnie do pełnionej funkcji, a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także adekwatnie do skali działalności. Członkowie Rady Nadzorczej powołani do pracy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komitetach są wynagradzani adekwatnie do dodatkowych zadań wykonywanych w ramach danego komitetu.</w:t>
      </w:r>
    </w:p>
    <w:p w14:paraId="1B6DEA44" w14:textId="77AEE85F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</w:t>
      </w:r>
      <w:r w:rsidR="00F87AB8">
        <w:rPr>
          <w:rFonts w:ascii="Garamond" w:hAnsi="Garamond"/>
          <w:sz w:val="24"/>
          <w:szCs w:val="24"/>
        </w:rPr>
        <w:t>Wysokość w</w:t>
      </w:r>
      <w:r w:rsidRPr="007237F6">
        <w:rPr>
          <w:rFonts w:ascii="Garamond" w:hAnsi="Garamond"/>
          <w:sz w:val="24"/>
          <w:szCs w:val="24"/>
        </w:rPr>
        <w:t>ynagrodzeni</w:t>
      </w:r>
      <w:r w:rsidR="00F87AB8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członków Rady Nadzorczej ustal</w:t>
      </w:r>
      <w:r w:rsidR="00F31381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>n</w:t>
      </w:r>
      <w:r w:rsidR="00F31381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jest przez Zebranie Przedstawicieli.</w:t>
      </w:r>
    </w:p>
    <w:p w14:paraId="62C0E85A" w14:textId="77777777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Zasady wynagradzania członków Rady Nadzorczej są transparentne i zawarte w</w:t>
      </w:r>
      <w:r w:rsidR="003F7A2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uchwale Zebrania Przedstawicieli.</w:t>
      </w:r>
    </w:p>
    <w:p w14:paraId="1D9EA0A2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9853BD1" w14:textId="4B66225A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Nadzorcza, odpowiada za wprowadzenie wewnętrznego aktu prawnego określającego zasady wynagradzania członków Zarządu Banku, w tym szczegółowe kryteria i warunki uzasadniające uzyskanie zmiennych składników wynagrodzenia. </w:t>
      </w:r>
    </w:p>
    <w:p w14:paraId="3754C061" w14:textId="7777777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pacing w:val="-4"/>
          <w:sz w:val="24"/>
          <w:szCs w:val="24"/>
        </w:rPr>
        <w:t xml:space="preserve">Rada Nadzorcza sprawuje nadzór nad wprowadzoną polityką wynagradzania, w tym dokonuje weryfikacji spełnienia kryteriów i warunków uzasadniających uzyskanie zmiennych składników wynagrodzenia przed wypłatą całości lub części tego wynagrodzenia. </w:t>
      </w:r>
    </w:p>
    <w:p w14:paraId="496521F4" w14:textId="11ACCCE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odniesieniu do osób pełniących kluczowe funkcje odpowiedzialność za wprowadzenie odpowiedniego wewnętrznego aktu prawnego i nadzór w tym obszarze ciąży na Zarządzie Banku</w:t>
      </w:r>
      <w:r w:rsidR="00F87AB8">
        <w:rPr>
          <w:rFonts w:ascii="Garamond" w:hAnsi="Garamond"/>
          <w:sz w:val="24"/>
          <w:szCs w:val="24"/>
        </w:rPr>
        <w:t xml:space="preserve">, z wyłączeniem wynagrodzenia osoby kierującej komórką ds. zgodności, które zatwierdza Rada Nadzorcza. </w:t>
      </w:r>
    </w:p>
    <w:p w14:paraId="5189694B" w14:textId="77777777" w:rsidR="007D5320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Zmienne składniki wynagrodzenia członków Zarządu Banku lub osób pełniących kluczowe funkcje są uzależnione, w szczególności od obiektywnych kryteriów, jakości zarządzania Bankiem oraz uwzględniają długoterminowe aspekty działania i sposób realizacji celów strategicznych. Ustalając zmienne składniki wynagrodzenia uwzględnia się także nagrody lub korzyści, w tym wynikające z programów motywacyjnych oraz innych programów premiowych wypłaconych, należnych lub potencjalnie należnych. </w:t>
      </w:r>
    </w:p>
    <w:p w14:paraId="5304FC49" w14:textId="77777777" w:rsidR="007D5320" w:rsidRDefault="007D5320" w:rsidP="007D5320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14F67E5" w14:textId="77777777" w:rsidR="007D5320" w:rsidRDefault="007D5320" w:rsidP="007D5320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47D469E1" w14:textId="5E517AD4" w:rsidR="003F7A2A" w:rsidRPr="007237F6" w:rsidRDefault="002A16E2" w:rsidP="007D5320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Ustalona polityka wynagradzania nie stanowi zachęty do podejmowania nadmiernego ryzyka w działalności Banku.</w:t>
      </w:r>
    </w:p>
    <w:p w14:paraId="39D8460E" w14:textId="6C1A8C68" w:rsidR="001C04EB" w:rsidRPr="007D5320" w:rsidRDefault="002A16E2" w:rsidP="001C04E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Wynagrodzenie członka Zarządu Banku lub osób pełniących kluczowe funkcje jest finansowane i wypłacane ze środków Banku.</w:t>
      </w:r>
    </w:p>
    <w:p w14:paraId="7091D7F2" w14:textId="77777777" w:rsidR="003F7A2A" w:rsidRPr="007237F6" w:rsidRDefault="003F7A2A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26165F7E" w14:textId="77777777" w:rsidR="003F7A2A" w:rsidRPr="007237F6" w:rsidRDefault="003F7A2A" w:rsidP="0041628B">
      <w:pPr>
        <w:pStyle w:val="Akapitzlist"/>
        <w:spacing w:before="240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10</w:t>
      </w:r>
    </w:p>
    <w:p w14:paraId="435A32EC" w14:textId="62AD7EFA" w:rsidR="003F7A2A" w:rsidRDefault="003F7A2A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informacyjna</w:t>
      </w:r>
    </w:p>
    <w:p w14:paraId="34ED220D" w14:textId="77777777" w:rsidR="0041628B" w:rsidRPr="007237F6" w:rsidRDefault="0041628B" w:rsidP="0041628B">
      <w:pPr>
        <w:pStyle w:val="Akapitzlist"/>
        <w:ind w:left="0"/>
        <w:jc w:val="center"/>
        <w:rPr>
          <w:rFonts w:ascii="Garamond" w:hAnsi="Garamond"/>
          <w:sz w:val="24"/>
          <w:szCs w:val="24"/>
        </w:rPr>
      </w:pPr>
    </w:p>
    <w:p w14:paraId="766072E1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D241833" w14:textId="7777777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>Bank prowadzi przejrzystą politykę informacyjną, uwzględniającą potrzeby jego udziałowców oraz klientów, udostępnioną na stronie internetowej Banku.</w:t>
      </w:r>
    </w:p>
    <w:p w14:paraId="1CC13D1D" w14:textId="1A2B11AB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Polityka informacyjna Banku oparta jest na ułatwianiu dostępu do informacji. </w:t>
      </w:r>
      <w:r w:rsidR="0041273E">
        <w:rPr>
          <w:rFonts w:ascii="Garamond" w:hAnsi="Garamond"/>
          <w:color w:val="000000" w:themeColor="text1"/>
          <w:sz w:val="24"/>
          <w:szCs w:val="24"/>
        </w:rPr>
        <w:br/>
      </w:r>
      <w:r w:rsidRPr="007237F6">
        <w:rPr>
          <w:rFonts w:ascii="Garamond" w:hAnsi="Garamond"/>
          <w:color w:val="000000" w:themeColor="text1"/>
          <w:sz w:val="24"/>
          <w:szCs w:val="24"/>
        </w:rPr>
        <w:t>W szczególności publikowane przez Bank raporty zawierające informacje finansowe umieszczane są na stronie internetowej Banku pod adresem</w:t>
      </w:r>
      <w:r w:rsidR="003F7A2A" w:rsidRPr="007237F6">
        <w:rPr>
          <w:rFonts w:ascii="Garamond" w:hAnsi="Garamond"/>
          <w:color w:val="000000" w:themeColor="text1"/>
          <w:sz w:val="24"/>
          <w:szCs w:val="24"/>
        </w:rPr>
        <w:t>:</w:t>
      </w: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 </w:t>
      </w:r>
      <w:hyperlink r:id="rId10" w:history="1">
        <w:r w:rsidR="007D5320" w:rsidRPr="00F629D1">
          <w:rPr>
            <w:rStyle w:val="Hipercze"/>
            <w:rFonts w:ascii="Garamond" w:hAnsi="Garamond"/>
            <w:sz w:val="24"/>
            <w:szCs w:val="24"/>
          </w:rPr>
          <w:t>www.bsdzierzgon.pl</w:t>
        </w:r>
      </w:hyperlink>
      <w:r w:rsidR="007D5320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C523A42" w14:textId="77777777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Bank zapewnia udziałowcom równy dostęp do informacji. </w:t>
      </w:r>
    </w:p>
    <w:p w14:paraId="3991BCB6" w14:textId="77777777" w:rsidR="003F7A2A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Polityka informacyjna określa w szczególności zasady i terminy udzielania odpowiedzi udziałowcom oraz klientom. </w:t>
      </w:r>
    </w:p>
    <w:p w14:paraId="27015794" w14:textId="3B3DDFB2" w:rsidR="006477F0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informacyjna zapewnia ochronę informacji oraz uwzględnia odrębne regulacje wynikające z przepisów szczególnych regulujących funkcjonowanie Banku</w:t>
      </w:r>
      <w:r w:rsidR="00F87AB8">
        <w:rPr>
          <w:rFonts w:ascii="Garamond" w:hAnsi="Garamond"/>
          <w:sz w:val="24"/>
          <w:szCs w:val="24"/>
        </w:rPr>
        <w:t>, w tym szczegółowe regulacje wynikające z ustawy Prawo bankowe.</w:t>
      </w:r>
    </w:p>
    <w:p w14:paraId="79898AD9" w14:textId="38F7F7AB" w:rsidR="006477F0" w:rsidRDefault="006477F0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1BE52F45" w14:textId="42531CDE" w:rsidR="0041628B" w:rsidRDefault="0041628B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2CA0AEFA" w14:textId="77777777" w:rsidR="006477F0" w:rsidRPr="007237F6" w:rsidRDefault="006477F0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11</w:t>
      </w:r>
    </w:p>
    <w:p w14:paraId="2B65884F" w14:textId="16EA388F" w:rsidR="006477F0" w:rsidRPr="007237F6" w:rsidRDefault="006477F0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Polityka </w:t>
      </w:r>
      <w:r w:rsidR="00F87AB8">
        <w:rPr>
          <w:rFonts w:ascii="Garamond" w:hAnsi="Garamond"/>
          <w:b/>
          <w:sz w:val="24"/>
          <w:szCs w:val="24"/>
        </w:rPr>
        <w:t xml:space="preserve">wprowadzania </w:t>
      </w:r>
      <w:r w:rsidRPr="007237F6">
        <w:rPr>
          <w:rFonts w:ascii="Garamond" w:hAnsi="Garamond"/>
          <w:b/>
          <w:sz w:val="24"/>
          <w:szCs w:val="24"/>
        </w:rPr>
        <w:t>nowych produktów</w:t>
      </w:r>
      <w:r w:rsidR="007A3B87" w:rsidRPr="007237F6">
        <w:rPr>
          <w:rFonts w:ascii="Garamond" w:hAnsi="Garamond"/>
          <w:b/>
          <w:sz w:val="24"/>
          <w:szCs w:val="24"/>
        </w:rPr>
        <w:t xml:space="preserve"> i usług</w:t>
      </w:r>
    </w:p>
    <w:p w14:paraId="712B1038" w14:textId="6278D498" w:rsidR="006477F0" w:rsidRDefault="006477F0" w:rsidP="0041628B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Działalność promocyjna i relacje z klientami</w:t>
      </w:r>
    </w:p>
    <w:p w14:paraId="5080AE46" w14:textId="77777777" w:rsidR="0041628B" w:rsidRPr="007237F6" w:rsidRDefault="0041628B" w:rsidP="007237F6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1C1A262A" w14:textId="77777777" w:rsidR="006477F0" w:rsidRPr="007237F6" w:rsidRDefault="006477F0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236C970" w14:textId="5D596D85" w:rsidR="006477F0" w:rsidRPr="007237F6" w:rsidRDefault="006477F0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Banku opracowana została Polityka </w:t>
      </w:r>
      <w:r w:rsidR="00F87AB8">
        <w:rPr>
          <w:rFonts w:ascii="Garamond" w:hAnsi="Garamond"/>
          <w:sz w:val="24"/>
          <w:szCs w:val="24"/>
        </w:rPr>
        <w:t xml:space="preserve">wprowadzania </w:t>
      </w:r>
      <w:r w:rsidRPr="007237F6">
        <w:rPr>
          <w:rFonts w:ascii="Garamond" w:hAnsi="Garamond"/>
          <w:sz w:val="24"/>
          <w:szCs w:val="24"/>
        </w:rPr>
        <w:t>nowych produktów, która obejmuje rozwój nowych rynków, produktów i usług oraz znaczące zmiany dotychczasowych rynków, produktów i usług, jak też wyjątkowe transakcje, jak również istotne zmiany powiązanych procesów (np. nowe zasady outsourcingu) i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systemów (np. procesów zmian w zakresie informatyki). </w:t>
      </w:r>
    </w:p>
    <w:p w14:paraId="7ADA9FA8" w14:textId="753B3230" w:rsidR="006477F0" w:rsidRPr="007237F6" w:rsidRDefault="006477F0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zatwierdzania nowych produktów zapewnia, spójność produktów i zmian ze strategią w zakresie ryzyka i skłonnością Banku do podejmowania ryzyka oraz z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odpowiednimi limitami, poprzez uwzględnienie w jej treści  wszystkich czynników, które należy wziąć pod uwagę przed podjęciem decyzji o wejściu na nowe rynki, obrocie nowymi produktami, wdrożeniu nowej usługi lub wprowadzeniu znaczących zmian dotychczasowych produktów lub usług. </w:t>
      </w:r>
    </w:p>
    <w:p w14:paraId="302BE54C" w14:textId="723B427F" w:rsidR="007A3B87" w:rsidRDefault="006477F0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Każdy nowy produkt lub znacząca zmiana dotychczasowego produktu podlega ocenie uprzedniej i systematycznej przez komórkę ds. zgodności</w:t>
      </w:r>
      <w:r w:rsidR="007A3B87" w:rsidRPr="007237F6">
        <w:rPr>
          <w:rFonts w:ascii="Garamond" w:hAnsi="Garamond"/>
          <w:sz w:val="24"/>
          <w:szCs w:val="24"/>
        </w:rPr>
        <w:t>, a w zatwierdzeniu nowych produktów lub znaczących zmian dotychczasowych produktów, procesów i systemów powinny uczestniczyć komórka ds. zarządzania ryzykiem i komórka ds. zgodności</w:t>
      </w:r>
      <w:r w:rsidR="0041273E">
        <w:rPr>
          <w:rFonts w:ascii="Garamond" w:hAnsi="Garamond"/>
          <w:sz w:val="24"/>
          <w:szCs w:val="24"/>
        </w:rPr>
        <w:t>.</w:t>
      </w:r>
      <w:r w:rsidR="007A3B87" w:rsidRPr="007237F6">
        <w:rPr>
          <w:rFonts w:ascii="Garamond" w:hAnsi="Garamond"/>
          <w:sz w:val="24"/>
          <w:szCs w:val="24"/>
        </w:rPr>
        <w:t xml:space="preserve"> </w:t>
      </w:r>
    </w:p>
    <w:p w14:paraId="6672F048" w14:textId="77777777" w:rsidR="0041628B" w:rsidRPr="007237F6" w:rsidRDefault="0041628B" w:rsidP="0041628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1F08526D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DB53B77" w14:textId="77777777" w:rsidR="00C2453B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dotyczący usługi lub produktu oferowanego przez </w:t>
      </w:r>
      <w:r w:rsidR="00B43536" w:rsidRPr="007237F6">
        <w:rPr>
          <w:rFonts w:ascii="Garamond" w:hAnsi="Garamond"/>
          <w:sz w:val="24"/>
          <w:szCs w:val="24"/>
        </w:rPr>
        <w:t>Bank albo</w:t>
      </w:r>
      <w:r w:rsidRPr="007237F6">
        <w:rPr>
          <w:rFonts w:ascii="Garamond" w:hAnsi="Garamond"/>
          <w:sz w:val="24"/>
          <w:szCs w:val="24"/>
        </w:rPr>
        <w:t xml:space="preserve"> jego działalności, dalej jako „przedmiot reklamowany”, jest rzetelny i nie wprowadza w</w:t>
      </w:r>
      <w:r w:rsidR="007A3B87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błąd oraz </w:t>
      </w:r>
    </w:p>
    <w:p w14:paraId="22C826BD" w14:textId="77777777" w:rsidR="00C2453B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1D4EF3D2" w14:textId="4CB6FB01" w:rsidR="007A3B87" w:rsidRPr="007237F6" w:rsidRDefault="002A16E2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cechuje się poszanowaniem powszechnie obowiązujących przepisów prawa, zasad uczciwego obrotu jak również dobrych obyczajów. </w:t>
      </w:r>
    </w:p>
    <w:p w14:paraId="78EC790E" w14:textId="0C157D73" w:rsidR="007A3B87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w sposób jasny wskazuje jakiego produktu lub usługi dotyczy. </w:t>
      </w:r>
    </w:p>
    <w:p w14:paraId="22ED1004" w14:textId="4773101A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nie eksponuje korzyści w taki sposób, który powodowałby umniejszenie znaczenia kosztów i ryzyk związanych z nabyciem produktu lub usługi. </w:t>
      </w:r>
    </w:p>
    <w:p w14:paraId="243D85B2" w14:textId="77777777" w:rsidR="0048086F" w:rsidRPr="0048086F" w:rsidRDefault="0048086F" w:rsidP="0048086F">
      <w:pPr>
        <w:jc w:val="both"/>
        <w:rPr>
          <w:rFonts w:ascii="Garamond" w:hAnsi="Garamond"/>
          <w:sz w:val="24"/>
          <w:szCs w:val="24"/>
        </w:rPr>
      </w:pPr>
    </w:p>
    <w:p w14:paraId="7B8C1BBA" w14:textId="77777777" w:rsidR="007A3B87" w:rsidRPr="007237F6" w:rsidRDefault="007A3B87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4910AA34" w14:textId="249AF913" w:rsidR="002A16E2" w:rsidRPr="007237F6" w:rsidRDefault="002A16E2" w:rsidP="007237F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nie powinien wprowadzać w </w:t>
      </w:r>
      <w:r w:rsidR="00B43536" w:rsidRPr="007237F6">
        <w:rPr>
          <w:rFonts w:ascii="Garamond" w:hAnsi="Garamond"/>
          <w:sz w:val="24"/>
          <w:szCs w:val="24"/>
        </w:rPr>
        <w:t>błąd</w:t>
      </w:r>
      <w:r w:rsidRPr="007237F6">
        <w:rPr>
          <w:rFonts w:ascii="Garamond" w:hAnsi="Garamond"/>
          <w:sz w:val="24"/>
          <w:szCs w:val="24"/>
        </w:rPr>
        <w:t xml:space="preserve"> ani stwarzać możliwości wprowadzenia w błąd w szczególności co do: </w:t>
      </w:r>
    </w:p>
    <w:p w14:paraId="1F5E5BA5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charakteru prawnego przedmiotu reklamowanego, w tym praw i obowiązków klienta,</w:t>
      </w:r>
    </w:p>
    <w:p w14:paraId="01EE78C0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tożsamości podmiotu reklamującego, </w:t>
      </w:r>
    </w:p>
    <w:p w14:paraId="349B0CE2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istotnych cech przedmiotu reklamowanego, </w:t>
      </w:r>
    </w:p>
    <w:p w14:paraId="3B49F73F" w14:textId="106670D1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korzyści, które można osiągnąć nabywając lub korzystając z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przedmiotu reklamowanego oraz okresu, w którym powstają, </w:t>
      </w:r>
    </w:p>
    <w:p w14:paraId="1F9EFEC2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ponoszonych przez klienta całkowitych kosztów związanych z nabyciem lub korzystaniem z przedmiotu reklamowanego oraz okresu, którego te koszty dotyczą, </w:t>
      </w:r>
    </w:p>
    <w:p w14:paraId="31A02E45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czasu, wartości i terytorialnej dostępności przedmiotu reklamowanego, </w:t>
      </w:r>
    </w:p>
    <w:p w14:paraId="691BE614" w14:textId="0CB028DF" w:rsidR="002A16E2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ryzyka związanego nabyciem lub korzystaniem z przedmiotu reklamowanego. </w:t>
      </w:r>
    </w:p>
    <w:p w14:paraId="5D1CB133" w14:textId="77777777" w:rsidR="0041628B" w:rsidRPr="007237F6" w:rsidRDefault="0041628B" w:rsidP="0041628B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6E568560" w14:textId="77777777" w:rsidR="007A3B87" w:rsidRPr="007237F6" w:rsidRDefault="007A3B87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0847943D" w14:textId="77777777" w:rsidR="002A16E2" w:rsidRPr="007237F6" w:rsidRDefault="002A16E2" w:rsidP="007237F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tworzeniu oraz publikacji przekazu reklamowego Bank w szczególności: </w:t>
      </w:r>
    </w:p>
    <w:p w14:paraId="3D0E8C0D" w14:textId="7382DE2C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czuwa nad charakterem i konstrukcją przekazów reklamowych przygotowywanych </w:t>
      </w:r>
      <w:r w:rsidR="00C2453B">
        <w:rPr>
          <w:rFonts w:ascii="Garamond" w:hAnsi="Garamond"/>
          <w:sz w:val="24"/>
          <w:szCs w:val="24"/>
        </w:rPr>
        <w:t xml:space="preserve">                      </w:t>
      </w:r>
      <w:r w:rsidRPr="007237F6">
        <w:rPr>
          <w:rFonts w:ascii="Garamond" w:hAnsi="Garamond"/>
          <w:sz w:val="24"/>
          <w:szCs w:val="24"/>
        </w:rPr>
        <w:t xml:space="preserve">i publikowanych w imieniu Banku lub na jego rzecz, </w:t>
      </w:r>
    </w:p>
    <w:p w14:paraId="721FA8C9" w14:textId="7E92430E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zapewnia odbiorcy możliwość swobodnego zapoznania się ze wszystkimi treściami składającymi się na przekaz, w szczególności ze wszelkiego rodzaju wskazaniami </w:t>
      </w:r>
      <w:r w:rsidR="00C2453B">
        <w:rPr>
          <w:rFonts w:ascii="Garamond" w:hAnsi="Garamond"/>
          <w:sz w:val="24"/>
          <w:szCs w:val="24"/>
        </w:rPr>
        <w:t xml:space="preserve">                          </w:t>
      </w:r>
      <w:r w:rsidRPr="007237F6">
        <w:rPr>
          <w:rFonts w:ascii="Garamond" w:hAnsi="Garamond"/>
          <w:sz w:val="24"/>
          <w:szCs w:val="24"/>
        </w:rPr>
        <w:t xml:space="preserve">i zastrzeżeniami stanowiącymi integralną część przekazu reklamowego, </w:t>
      </w:r>
    </w:p>
    <w:p w14:paraId="439B0D99" w14:textId="77777777" w:rsidR="007A3B87" w:rsidRPr="007237F6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zapewnia, aby rozwiązania graficzne zastosowane w przekazie reklamowym nie utrudniały odbiorcy zapoznania się z istotnymi informacjami przedmiotu reklamowanego w tym przekazie, w szczególności z informacjami wymaganymi przepisami prawa oraz rekomendacjami nadzorczymi, </w:t>
      </w:r>
    </w:p>
    <w:p w14:paraId="2E6573AF" w14:textId="3A6F5F8E" w:rsidR="002A16E2" w:rsidRDefault="002A16E2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podaje źródło prezentowanych informacji, jeżeli przekaz reklamowy odwołuje się do wyników sondaży, badań statystycznych, rankingów, ratingów lub innych danych. </w:t>
      </w:r>
    </w:p>
    <w:p w14:paraId="5DB1AA45" w14:textId="77777777" w:rsidR="0041628B" w:rsidRPr="007237F6" w:rsidRDefault="0041628B" w:rsidP="0041628B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0513D6E5" w14:textId="77777777" w:rsidR="007A3B87" w:rsidRPr="007237F6" w:rsidRDefault="007A3B87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6527CC42" w14:textId="21ADBCDB" w:rsidR="007A3B87" w:rsidRDefault="007A3B87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Proces oferowania produktów lub usług finansowych powinien być prowadzony przez odpowiednio przygotowane osoby w celu zapewnienia rzetelności przekazywanych klientom informacji oraz udzielania im zrozumiałych wyjaśnień.</w:t>
      </w:r>
    </w:p>
    <w:p w14:paraId="2132F1B5" w14:textId="77777777" w:rsidR="0041628B" w:rsidRPr="007237F6" w:rsidRDefault="0041628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42D3DB3D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48E9624" w14:textId="77777777" w:rsidR="007A3B87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dokłada starań,  aby oferowane produkty lub usługi  finansowe były adekwatne do potrzeb klientów, do których są kierowane. </w:t>
      </w:r>
    </w:p>
    <w:p w14:paraId="4C2360B4" w14:textId="77777777" w:rsidR="00C2453B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 etapie przedstawiania charakteru i konstrukcji rekomendowanego produktu lub usługi finansowej Bank oraz podmioty z nimi współpracujące uwzględniają potrzeby, o których mowa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ust. 1, w szczególności co do indywidualnej sytuacji klienta, w tym wiedzy i </w:t>
      </w:r>
    </w:p>
    <w:p w14:paraId="67912F96" w14:textId="77777777" w:rsidR="00C2453B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47DB7CC3" w14:textId="77777777" w:rsidR="00C2453B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7D22BAE4" w14:textId="0441B389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doświadczenia na rynku finansowym, a tam gdzie to uzasadnione, pożądanego czasu trwania inwestycji oraz poziomu akceptacji ryzyka. </w:t>
      </w:r>
    </w:p>
    <w:p w14:paraId="4A4E1490" w14:textId="77777777" w:rsidR="00C2453B" w:rsidRPr="007237F6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3868B889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247C356A" w14:textId="35FAB81B" w:rsidR="002A16E2" w:rsidRDefault="00B43536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oraz</w:t>
      </w:r>
      <w:r w:rsidR="002A16E2" w:rsidRPr="007237F6">
        <w:rPr>
          <w:rFonts w:ascii="Garamond" w:hAnsi="Garamond"/>
          <w:sz w:val="24"/>
          <w:szCs w:val="24"/>
        </w:rPr>
        <w:t xml:space="preserve"> współpracujące z ni</w:t>
      </w:r>
      <w:r w:rsidR="00F31381">
        <w:rPr>
          <w:rFonts w:ascii="Garamond" w:hAnsi="Garamond"/>
          <w:sz w:val="24"/>
          <w:szCs w:val="24"/>
        </w:rPr>
        <w:t>m</w:t>
      </w:r>
      <w:r w:rsidR="002A16E2" w:rsidRPr="007237F6">
        <w:rPr>
          <w:rFonts w:ascii="Garamond" w:hAnsi="Garamond"/>
          <w:sz w:val="24"/>
          <w:szCs w:val="24"/>
        </w:rPr>
        <w:t xml:space="preserve"> podmioty rzetelnie i w sposób przystępny dla przeciętnego odbiorcy informują o oferowanym produkcie lub usłudze, w tym </w:t>
      </w:r>
      <w:r w:rsidR="00D47DD8" w:rsidRPr="007237F6">
        <w:rPr>
          <w:rFonts w:ascii="Garamond" w:hAnsi="Garamond"/>
          <w:sz w:val="24"/>
          <w:szCs w:val="24"/>
        </w:rPr>
        <w:t> </w:t>
      </w:r>
      <w:r w:rsidR="002A16E2" w:rsidRPr="007237F6">
        <w:rPr>
          <w:rFonts w:ascii="Garamond" w:hAnsi="Garamond"/>
          <w:sz w:val="24"/>
          <w:szCs w:val="24"/>
        </w:rPr>
        <w:t>w szczególności o</w:t>
      </w:r>
      <w:r w:rsidR="00E952D7">
        <w:rPr>
          <w:rFonts w:ascii="Garamond" w:hAnsi="Garamond"/>
          <w:sz w:val="24"/>
          <w:szCs w:val="24"/>
        </w:rPr>
        <w:t> </w:t>
      </w:r>
      <w:r w:rsidR="002A16E2" w:rsidRPr="007237F6">
        <w:rPr>
          <w:rFonts w:ascii="Garamond" w:hAnsi="Garamond"/>
          <w:sz w:val="24"/>
          <w:szCs w:val="24"/>
        </w:rPr>
        <w:t xml:space="preserve">charakterze i konstrukcji tego produktu lub usługi, korzyściach oraz czynnikach warunkujących osiągnięcie ewentualnego zysku, a także o wszelkich ryzykach z nimi związanych, w tym o opłatach i kosztach (również związanych z wcześniejszą rezygnacją z produktu lub usługi). </w:t>
      </w:r>
    </w:p>
    <w:p w14:paraId="6E75AAD7" w14:textId="77777777" w:rsidR="0041628B" w:rsidRPr="007237F6" w:rsidRDefault="0041628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4C19EE96" w14:textId="77777777" w:rsidR="00D47DD8" w:rsidRPr="007237F6" w:rsidRDefault="00D47DD8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19E2CA7C" w14:textId="0E4FB7E9" w:rsidR="00D47DD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Wszelkie niezbędne informacje dotyczące charakteru i konstrukcji produktu lub usługi finansowej, mające znaczenie dla podjęcia przez klienta decyzji, są udostępniane klientom w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taki sposób, aby w odpowiednim czasie przed zawarciem umowy mieli oni możliwość swobodnego zapoznania się z ich treścią. </w:t>
      </w:r>
    </w:p>
    <w:p w14:paraId="2C7EB04B" w14:textId="77777777" w:rsidR="00D47DD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Postanowienia umowy, w tym wzorce umowy oraz istotne informacje na temat umowy zamieszczone w innych dokumentach, są przedstawione klientowi przez Bank oraz podmioty z nią współpracujące przed podjęciem przez niego decyzji co do zawarcia umowy. </w:t>
      </w:r>
    </w:p>
    <w:p w14:paraId="133DFE66" w14:textId="77777777" w:rsidR="00D47DD8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Jeśli w ocenie klienta nie jest możliwe zapoznanie się z przedstawionymi dokumentami na miejscu Bank przekazuje klientowi na koszt własny kopie odpowiednich dokumentów. </w:t>
      </w:r>
    </w:p>
    <w:p w14:paraId="4C5537AA" w14:textId="3D8DC68C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podejmuje odpowiednie działania i dokłada należytej staranności, aby wzorce umów nie zawierały postanowień niejednoznacznych. </w:t>
      </w:r>
    </w:p>
    <w:p w14:paraId="0CE7CD13" w14:textId="77777777" w:rsidR="005447E2" w:rsidRPr="007237F6" w:rsidRDefault="005447E2" w:rsidP="0041628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7C455FD4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55D54A5F" w14:textId="3077BC58" w:rsidR="0041628B" w:rsidRPr="007237F6" w:rsidRDefault="002A16E2" w:rsidP="001C04E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opracowuje i udostępnia klientom jasne i przejrzyste zasady rozpatrywania skarg </w:t>
      </w:r>
      <w:r w:rsidR="00C2453B">
        <w:rPr>
          <w:rFonts w:ascii="Garamond" w:hAnsi="Garamond"/>
          <w:sz w:val="24"/>
          <w:szCs w:val="24"/>
        </w:rPr>
        <w:t xml:space="preserve">                     </w:t>
      </w:r>
      <w:r w:rsidRPr="007237F6">
        <w:rPr>
          <w:rFonts w:ascii="Garamond" w:hAnsi="Garamond"/>
          <w:sz w:val="24"/>
          <w:szCs w:val="24"/>
        </w:rPr>
        <w:t>i reklamacji.</w:t>
      </w:r>
    </w:p>
    <w:p w14:paraId="47B05ADB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539A5B39" w14:textId="0B096979" w:rsidR="002A16E2" w:rsidRPr="007237F6" w:rsidRDefault="002A16E2" w:rsidP="00B43536">
      <w:pPr>
        <w:spacing w:line="276" w:lineRule="auto"/>
        <w:ind w:firstLine="567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</w:t>
      </w:r>
      <w:r w:rsidR="0041628B" w:rsidRPr="007237F6">
        <w:rPr>
          <w:rFonts w:ascii="Garamond" w:hAnsi="Garamond"/>
          <w:sz w:val="24"/>
          <w:szCs w:val="24"/>
        </w:rPr>
        <w:t>prowadzi zorganizowaną</w:t>
      </w:r>
      <w:r w:rsidRPr="007237F6">
        <w:rPr>
          <w:rFonts w:ascii="Garamond" w:hAnsi="Garamond"/>
          <w:sz w:val="24"/>
          <w:szCs w:val="24"/>
        </w:rPr>
        <w:t xml:space="preserve"> formę rozpatrywania skarg i reklamacji oraz podejmuje działa</w:t>
      </w:r>
      <w:r w:rsidR="00F31381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zaradcze zmierzające do ograniczenia sytuacji, powodujących ich występowanie w przyszłości. </w:t>
      </w:r>
    </w:p>
    <w:p w14:paraId="63AA877A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201C3122" w14:textId="05D779A1" w:rsidR="002A16E2" w:rsidRPr="007237F6" w:rsidRDefault="002A16E2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Proces rozpatrywania skarg i reklamacji przez Bank prowadzony </w:t>
      </w:r>
      <w:r w:rsidR="00B43536" w:rsidRPr="007237F6">
        <w:rPr>
          <w:rFonts w:ascii="Garamond" w:hAnsi="Garamond"/>
          <w:sz w:val="24"/>
          <w:szCs w:val="24"/>
        </w:rPr>
        <w:t>jest niezwłocznie</w:t>
      </w:r>
      <w:r w:rsidRPr="007237F6">
        <w:rPr>
          <w:rFonts w:ascii="Garamond" w:hAnsi="Garamond"/>
          <w:sz w:val="24"/>
          <w:szCs w:val="24"/>
        </w:rPr>
        <w:t xml:space="preserve"> nie później niż w terminie </w:t>
      </w:r>
      <w:r w:rsidR="00C2453B">
        <w:rPr>
          <w:rFonts w:ascii="Garamond" w:hAnsi="Garamond"/>
          <w:sz w:val="24"/>
          <w:szCs w:val="24"/>
        </w:rPr>
        <w:t>30</w:t>
      </w:r>
      <w:r w:rsidRPr="007237F6">
        <w:rPr>
          <w:rFonts w:ascii="Garamond" w:hAnsi="Garamond"/>
          <w:sz w:val="24"/>
          <w:szCs w:val="24"/>
        </w:rPr>
        <w:t xml:space="preserve"> dni, a także cechuje się rzetelnością, wnikliwością, obiektywizmem oraz poszanowaniem powszechnie obowiązujących przepisów prawa, zasad uczciwego obrotu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dobrych obyczajów. </w:t>
      </w:r>
    </w:p>
    <w:p w14:paraId="7495A8B6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C763346" w14:textId="1FAEC8EE" w:rsidR="002A16E2" w:rsidRDefault="002A16E2" w:rsidP="00B43536">
      <w:pPr>
        <w:pStyle w:val="Akapitzlist"/>
        <w:ind w:left="0"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Treść odpowiedzi na skargę lub reklamację zawiera, o ile to możliwe, pełne i wyczerpujące uzasadnienie faktyczne i prawne, stosownie do zarzutów zamieszczonych w reklamacji lub skardze. </w:t>
      </w:r>
    </w:p>
    <w:p w14:paraId="0F5F1B98" w14:textId="77777777" w:rsidR="0041628B" w:rsidRPr="007237F6" w:rsidRDefault="0041628B" w:rsidP="00B43536">
      <w:pPr>
        <w:pStyle w:val="Akapitzlist"/>
        <w:ind w:left="0" w:firstLine="567"/>
        <w:jc w:val="both"/>
        <w:rPr>
          <w:rFonts w:ascii="Garamond" w:hAnsi="Garamond"/>
          <w:sz w:val="24"/>
          <w:szCs w:val="24"/>
        </w:rPr>
      </w:pPr>
    </w:p>
    <w:p w14:paraId="4D99C04C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1E730279" w14:textId="6E0DA05D" w:rsidR="002A16E2" w:rsidRDefault="002A16E2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dąży do polubownego rozwiązywania sporów ze swoimi klientami. </w:t>
      </w:r>
    </w:p>
    <w:p w14:paraId="1BCE0B7F" w14:textId="77777777" w:rsidR="0041628B" w:rsidRPr="007237F6" w:rsidRDefault="0041628B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</w:p>
    <w:p w14:paraId="3D328DC9" w14:textId="77777777" w:rsidR="00D47DD8" w:rsidRPr="007237F6" w:rsidRDefault="00D47DD8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577629D7" w14:textId="77777777" w:rsidR="002A16E2" w:rsidRPr="007237F6" w:rsidRDefault="002A16E2" w:rsidP="00B43536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dochodząc swoich roszczeń, w szczególności prowadząc działania windykacyjne wobec klientów, działa profesjonalnie i dba o reputację instytucji zaufania publicznego. </w:t>
      </w:r>
    </w:p>
    <w:p w14:paraId="6B30046E" w14:textId="77777777" w:rsidR="00D47DD8" w:rsidRPr="007237F6" w:rsidRDefault="00D47DD8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14:paraId="3661CA04" w14:textId="77777777" w:rsidR="00C2453B" w:rsidRDefault="00C2453B" w:rsidP="00B43536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2C26DC4F" w14:textId="77777777" w:rsidR="00D47DD8" w:rsidRPr="007237F6" w:rsidRDefault="00D47DD8" w:rsidP="00B43536">
      <w:pPr>
        <w:pStyle w:val="Akapitzlist"/>
        <w:ind w:left="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12</w:t>
      </w:r>
    </w:p>
    <w:p w14:paraId="69DE8F59" w14:textId="77777777" w:rsidR="00D47DD8" w:rsidRPr="007237F6" w:rsidRDefault="00D47DD8" w:rsidP="00B4353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Kluczowe systemy i funkcje wewnętrzne</w:t>
      </w:r>
    </w:p>
    <w:p w14:paraId="1A2E4292" w14:textId="77777777" w:rsidR="00D47DD8" w:rsidRPr="007237F6" w:rsidRDefault="00D47DD8" w:rsidP="007237F6">
      <w:pPr>
        <w:spacing w:line="276" w:lineRule="auto"/>
        <w:rPr>
          <w:rFonts w:ascii="Garamond" w:hAnsi="Garamond"/>
          <w:sz w:val="24"/>
          <w:szCs w:val="24"/>
        </w:rPr>
      </w:pPr>
    </w:p>
    <w:p w14:paraId="7BBC8A77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B18F69D" w14:textId="77777777" w:rsidR="00D47DD8" w:rsidRPr="007237F6" w:rsidRDefault="00D47DD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adekwatny, efektywny i skuteczny system kontroli wewnętrznej mający na celu zapewnienie: </w:t>
      </w:r>
    </w:p>
    <w:p w14:paraId="57B9906B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prawidłowości procedur administracyjnych i księgowych a także sprawozdawczości finansowej oraz rzetelnego raportowania wewnętrznego i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zewnętrznego, </w:t>
      </w:r>
    </w:p>
    <w:p w14:paraId="04E6393C" w14:textId="031521E9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zgodności działania z przepisami prawa i regulacjami wewnętrznymi oraz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uwzględnieniem rekomendacji nadzorczych. </w:t>
      </w:r>
    </w:p>
    <w:p w14:paraId="0F2E568A" w14:textId="77777777" w:rsidR="00D47DD8" w:rsidRPr="007237F6" w:rsidRDefault="00D47DD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Na proces zapewniania realizacji celów systemu kontroli wewnętrznej składa się organizacja kontroli wewnętrznej, mechanizmy kontrolne oraz szacowanie ryzyka nieosiągnięcia celów wymienionych w ust. 1. </w:t>
      </w:r>
    </w:p>
    <w:p w14:paraId="7FBAB842" w14:textId="77777777" w:rsidR="00D47DD8" w:rsidRPr="007237F6" w:rsidRDefault="00D47DD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komórkę kontroli wewnętrznej dysponującą wystarczającymi uprawnieniami, statusem i dostępem do organów Banku, aby mogła wypełniać swoją funkcję.  </w:t>
      </w:r>
    </w:p>
    <w:p w14:paraId="393BAACC" w14:textId="77777777" w:rsidR="00D47DD8" w:rsidRPr="007237F6" w:rsidRDefault="00D47DD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dokumentuje  proces zapewnienia realizacji celów systemu kontroli wewnętrznej. </w:t>
      </w:r>
    </w:p>
    <w:p w14:paraId="41142076" w14:textId="77777777" w:rsidR="00D47DD8" w:rsidRPr="007237F6" w:rsidRDefault="00D47DD8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Ramy kontroli wewnętrznej Banku zapewniają: </w:t>
      </w:r>
    </w:p>
    <w:p w14:paraId="3C2E2C3A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skuteczną i efektywną działalność; </w:t>
      </w:r>
    </w:p>
    <w:p w14:paraId="52639359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ostrożne prowadzenie działalności; </w:t>
      </w:r>
    </w:p>
    <w:p w14:paraId="511894D9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odpowiednią identyfikację, pomiar i minimalizację ryzyka; </w:t>
      </w:r>
    </w:p>
    <w:p w14:paraId="371328AB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wiarygodność informacji finansowych i niefinansowych objętych sprawozdawczością zarówno wewnętrzną, jak i zewnętrzną; </w:t>
      </w:r>
    </w:p>
    <w:p w14:paraId="750BE7CF" w14:textId="77777777" w:rsidR="00D47DD8" w:rsidRPr="007237F6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>właściwe procedury administracyjne i księgowe; oraz</w:t>
      </w:r>
    </w:p>
    <w:p w14:paraId="64C8D92C" w14:textId="33B30AB3" w:rsidR="00337601" w:rsidRDefault="00D47DD8" w:rsidP="00B43536">
      <w:pPr>
        <w:pStyle w:val="Akapitzlist"/>
        <w:numPr>
          <w:ilvl w:val="2"/>
          <w:numId w:val="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zgodność z przepisami, regulacjami, wymogami nadzorczymi oraz polityką wewnętrzną instytucji, jej procesami, regulaminami i decyzjami.</w:t>
      </w:r>
    </w:p>
    <w:p w14:paraId="76AE42BA" w14:textId="77777777" w:rsidR="005447E2" w:rsidRPr="007237F6" w:rsidRDefault="005447E2" w:rsidP="005447E2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08405942" w14:textId="77777777" w:rsidR="00D47DD8" w:rsidRPr="007237F6" w:rsidRDefault="00D47DD8" w:rsidP="00811754">
      <w:pPr>
        <w:pStyle w:val="Akapitzlist"/>
        <w:numPr>
          <w:ilvl w:val="0"/>
          <w:numId w:val="3"/>
        </w:numPr>
        <w:ind w:left="851"/>
        <w:jc w:val="center"/>
        <w:rPr>
          <w:rFonts w:ascii="Garamond" w:hAnsi="Garamond"/>
          <w:sz w:val="24"/>
          <w:szCs w:val="24"/>
        </w:rPr>
      </w:pPr>
    </w:p>
    <w:p w14:paraId="27ACFE83" w14:textId="156CB98E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System kontroli wewnętrznej Banku obejmuje wszystkie poziomy w strukturze organizacyjnej Banku</w:t>
      </w:r>
      <w:r w:rsidR="00AD0814">
        <w:rPr>
          <w:rFonts w:ascii="Garamond" w:hAnsi="Garamond"/>
          <w:sz w:val="24"/>
          <w:szCs w:val="24"/>
        </w:rPr>
        <w:t>.</w:t>
      </w:r>
      <w:r w:rsidRPr="007237F6">
        <w:rPr>
          <w:rFonts w:ascii="Garamond" w:hAnsi="Garamond"/>
          <w:sz w:val="24"/>
          <w:szCs w:val="24"/>
        </w:rPr>
        <w:t xml:space="preserve"> </w:t>
      </w:r>
    </w:p>
    <w:p w14:paraId="32ACB0A5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Banku opracowuje i wdraża adekwatny, efektywny i skuteczny system kontroli wewnętrznej, a Rada Nadzorcza Banku dokonuje okresowej oceny adekwatności, efektywności i skuteczności zarówno całości systemu kontroli wewnętrznej, jak i wybranych jego elementów.</w:t>
      </w:r>
    </w:p>
    <w:p w14:paraId="2601879B" w14:textId="53C194B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zapewnia ustanowienie, utrzymanie i regularne aktualizowanie pisemnej polityki, mechanizmów i procedur kontroli wewnętrznej obejmujący</w:t>
      </w:r>
      <w:r w:rsidR="0048086F">
        <w:rPr>
          <w:rFonts w:ascii="Garamond" w:hAnsi="Garamond"/>
          <w:sz w:val="24"/>
          <w:szCs w:val="24"/>
        </w:rPr>
        <w:t>ch</w:t>
      </w:r>
      <w:r w:rsidRPr="007237F6">
        <w:rPr>
          <w:rFonts w:ascii="Garamond" w:hAnsi="Garamond"/>
          <w:sz w:val="24"/>
          <w:szCs w:val="24"/>
        </w:rPr>
        <w:t xml:space="preserve"> jednostki wewnętrzne i komórki kontroli wewnętrznej oraz komunikuj</w:t>
      </w:r>
      <w:r w:rsidR="0048086F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 pracownikom istotne zmiany </w:t>
      </w:r>
      <w:r w:rsidR="00337601" w:rsidRPr="007237F6">
        <w:rPr>
          <w:rFonts w:ascii="Garamond" w:hAnsi="Garamond"/>
          <w:sz w:val="24"/>
          <w:szCs w:val="24"/>
        </w:rPr>
        <w:t>.</w:t>
      </w:r>
    </w:p>
    <w:p w14:paraId="23BBFABC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Pracownikom Banku w ramach obowiązków służbowych przypisane są odpowiednie zadania związane z zapewnianiem realizacji celów systemu kontroli wewnętrznej. </w:t>
      </w:r>
    </w:p>
    <w:p w14:paraId="7D8EC553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Komórki kontroli wewnętrznej weryfikują, czy polityka, mechanizmy i procedury określone w ramach kontroli wewnętrznej są prawidłowo wdrażane w ich poszczególnych obszarach właściwości. </w:t>
      </w:r>
    </w:p>
    <w:p w14:paraId="608FBB97" w14:textId="77777777" w:rsidR="00C2453B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Komórki kontroli wewnętrznej regularnie przedkładają Zarządowi lub Radzie Nadzorczej sprawozdania dotyczące zidentyfikowanych ważnych uchybień - zawierając</w:t>
      </w:r>
      <w:r w:rsidR="00337601" w:rsidRPr="007237F6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 w przypadku każdego nowego zidentyfikowanego ważnego uchybienia opis związanego z nim ryzyka, ocenę skutków, zalecenia oraz wskazanie środków naprawczych, jakie należy podjąć. Zarząd </w:t>
      </w:r>
    </w:p>
    <w:p w14:paraId="01765DCD" w14:textId="77777777" w:rsidR="00C2453B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29EA6198" w14:textId="06631777" w:rsidR="0041628B" w:rsidRPr="00D875BB" w:rsidRDefault="002A16E2" w:rsidP="00D875B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  <w:r w:rsidRPr="00C2453B">
        <w:rPr>
          <w:rFonts w:ascii="Garamond" w:hAnsi="Garamond"/>
          <w:sz w:val="24"/>
          <w:szCs w:val="24"/>
        </w:rPr>
        <w:t xml:space="preserve">podejmuje w stosownym czasie skuteczne działania następcze w związku z ustaleniami komórek kontroli wewnętrznej oraz może zażądać odpowiednich działań naprawczych, określonych w procedurze działań następczych związanych z ustaleniami i podjętymi środkami naprawczymi. </w:t>
      </w:r>
    </w:p>
    <w:p w14:paraId="32A144E0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FDC0942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opracowuje i wdraża efektywną, skuteczną i niezależną funkcję zapewniania zgodności działania Banku z przepisami prawa i regulacjami wewnętrznymi oraz z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uwzględnieniem rekomendacji nadzorczych. </w:t>
      </w:r>
    </w:p>
    <w:p w14:paraId="675C188B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Sposób organizacji funkcji zapewnienia zgodności </w:t>
      </w:r>
      <w:r w:rsidR="00337601" w:rsidRPr="007237F6">
        <w:rPr>
          <w:rFonts w:ascii="Garamond" w:hAnsi="Garamond"/>
          <w:sz w:val="24"/>
          <w:szCs w:val="24"/>
        </w:rPr>
        <w:t xml:space="preserve">w Banku gwarantuje </w:t>
      </w:r>
      <w:r w:rsidRPr="007237F6">
        <w:rPr>
          <w:rFonts w:ascii="Garamond" w:hAnsi="Garamond"/>
          <w:sz w:val="24"/>
          <w:szCs w:val="24"/>
        </w:rPr>
        <w:t xml:space="preserve">niezależność wykonywania zadań w tym zakresie oraz dysponowanie wystarczającymi uprawnieniami, statusem i zasobami. </w:t>
      </w:r>
    </w:p>
    <w:p w14:paraId="5326782B" w14:textId="754A15FD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Pracownicy komórki ds. zgodności </w:t>
      </w:r>
      <w:r w:rsidR="00337601" w:rsidRPr="007237F6">
        <w:rPr>
          <w:rFonts w:ascii="Garamond" w:hAnsi="Garamond"/>
          <w:sz w:val="24"/>
          <w:szCs w:val="24"/>
        </w:rPr>
        <w:t xml:space="preserve">posiadają </w:t>
      </w:r>
      <w:r w:rsidRPr="007237F6">
        <w:rPr>
          <w:rFonts w:ascii="Garamond" w:hAnsi="Garamond"/>
          <w:sz w:val="24"/>
          <w:szCs w:val="24"/>
        </w:rPr>
        <w:t>wystarczającą wiedzę, umiejętności i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doświadczenie w odniesieniu do nadzoru zgodności z prawem i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odpowiednich procedur, jak również Bank zapewnia im dost</w:t>
      </w:r>
      <w:r w:rsidR="00337601" w:rsidRPr="007237F6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p do regularnych szkoleń w tym zakresie. </w:t>
      </w:r>
    </w:p>
    <w:p w14:paraId="05DCE423" w14:textId="0F9BD145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Komórka ds. zgodności powinna doradzać Zarządowi w sprawie środków jakie należy podjąć w celu zapewnienia zgodności z obowiązującymi przepisami, zasadami, regulacjami oraz standardami oraz oceniać wpływ zmian na działalność</w:t>
      </w:r>
      <w:r w:rsidR="00337601" w:rsidRPr="007237F6">
        <w:rPr>
          <w:rFonts w:ascii="Garamond" w:hAnsi="Garamond"/>
          <w:sz w:val="24"/>
          <w:szCs w:val="24"/>
        </w:rPr>
        <w:t xml:space="preserve"> Banku. </w:t>
      </w:r>
    </w:p>
    <w:p w14:paraId="67B7FD4F" w14:textId="77777777" w:rsidR="0041628B" w:rsidRPr="007237F6" w:rsidRDefault="0041628B" w:rsidP="0041628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628D661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7B4FB89" w14:textId="601D5E3E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zapewnia efektywną, skuteczną i niezależną funkcję audytu wewnętrznego mającą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szczególności za zadanie regularne badanie adekwatności, skuteczności i efektywności,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szczególności systemu kontroli wewnętrznej, funkcji zapewnienia zgodności i systemu zarządzania ryzykiem. </w:t>
      </w:r>
    </w:p>
    <w:p w14:paraId="2522AEBB" w14:textId="77777777" w:rsidR="00337601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Sposób organizacji funkcji audytu wewnętrznego gwarantuje niezależność wykonywania zadań w tym zakresie. </w:t>
      </w:r>
    </w:p>
    <w:p w14:paraId="34F9358C" w14:textId="3605B1A1" w:rsidR="00C2453B" w:rsidRDefault="002A16E2" w:rsidP="00D875BB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Audyt wewnętrzny Banku wykonywany jest na podstawie art. 10 ust. 2  Ustawy z dnia 10 sierpnia 1997 roku Prawo bankowe, na zasadach określonych w Umowie Systemu Ochrony SGB przez jednostkę zarządzająca Systemem Ochrony SGB- Spółdzielnię, działając</w:t>
      </w:r>
      <w:r w:rsidR="003F244A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 xml:space="preserve"> pod firmą „Spółdzielczy System Ochrony SGB”,   ul. Mielżyńskiego 22, 61-725 Poznań, zarejestrowaną w Krajowym Rejestrze Sądowym pod nr KRS 0000600238 .prowadzonym przez Sąd Rejonowy Poznań- Nowe Miasto i Wilda w Poznaniu, VIII Wydział Gospodarczy Krajowego Rejestru Sądowego</w:t>
      </w:r>
      <w:r w:rsidR="00337601" w:rsidRPr="007237F6">
        <w:rPr>
          <w:rFonts w:ascii="Garamond" w:hAnsi="Garamond"/>
          <w:sz w:val="24"/>
          <w:szCs w:val="24"/>
        </w:rPr>
        <w:t xml:space="preserve">. </w:t>
      </w:r>
    </w:p>
    <w:p w14:paraId="137C4A54" w14:textId="77777777" w:rsidR="00D875BB" w:rsidRPr="00D875BB" w:rsidRDefault="00D875BB" w:rsidP="00D875B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1DB18B68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F3DE029" w14:textId="4A571C70" w:rsidR="008973BE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Osoba kierująca komórką audytu wewnętrznego w jednostce zarządzającej Systemem Ochrony SGB- Spółdzi</w:t>
      </w:r>
      <w:r w:rsidRPr="007237F6">
        <w:rPr>
          <w:rFonts w:ascii="Garamond" w:hAnsi="Garamond"/>
          <w:b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lni  oraz osoba kierująca komórką do spraw zgodności Banku mają zapewnioną możliwość bezpośredniego komunikowania się z Zarządem oraz Radą Nadzorczą Banku, a ponadto komórka do spraw zgodności Banku ma możliwość bezpośredniego </w:t>
      </w:r>
      <w:r w:rsidR="00D875BB">
        <w:rPr>
          <w:rFonts w:ascii="Garamond" w:hAnsi="Garamond"/>
          <w:sz w:val="24"/>
          <w:szCs w:val="24"/>
        </w:rPr>
        <w:t xml:space="preserve">                     </w:t>
      </w:r>
      <w:r w:rsidRPr="007237F6">
        <w:rPr>
          <w:rFonts w:ascii="Garamond" w:hAnsi="Garamond"/>
          <w:sz w:val="24"/>
          <w:szCs w:val="24"/>
        </w:rPr>
        <w:t xml:space="preserve">i jednoczesnego raportowania do tych organów. </w:t>
      </w:r>
    </w:p>
    <w:p w14:paraId="43CD5465" w14:textId="6C556A79" w:rsidR="008973BE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Osoba kierująca komórką do spraw zgodności Banku uczestniczy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posiedzeniach Zarządu</w:t>
      </w:r>
      <w:r w:rsidR="00D875BB">
        <w:rPr>
          <w:rFonts w:ascii="Garamond" w:hAnsi="Garamond"/>
          <w:sz w:val="24"/>
          <w:szCs w:val="24"/>
        </w:rPr>
        <w:t xml:space="preserve">                 </w:t>
      </w:r>
      <w:r w:rsidRPr="007237F6">
        <w:rPr>
          <w:rFonts w:ascii="Garamond" w:hAnsi="Garamond"/>
          <w:sz w:val="24"/>
          <w:szCs w:val="24"/>
        </w:rPr>
        <w:t xml:space="preserve"> i Rady Nadzorczej Banku, jeżeli przedmiotem posiedzenia są zagadnienia związane</w:t>
      </w:r>
      <w:r w:rsidR="00D875BB">
        <w:rPr>
          <w:rFonts w:ascii="Garamond" w:hAnsi="Garamond"/>
          <w:sz w:val="24"/>
          <w:szCs w:val="24"/>
        </w:rPr>
        <w:t xml:space="preserve">                          </w:t>
      </w:r>
      <w:r w:rsidRPr="007237F6">
        <w:rPr>
          <w:rFonts w:ascii="Garamond" w:hAnsi="Garamond"/>
          <w:sz w:val="24"/>
          <w:szCs w:val="24"/>
        </w:rPr>
        <w:t xml:space="preserve"> z systemem kontroli wewnętrznej lub funkcją zgodności. </w:t>
      </w:r>
    </w:p>
    <w:p w14:paraId="372B75D1" w14:textId="167B2C76" w:rsidR="008973BE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Powoływanie i odwoływanie osoby kierującej komórką do spraw zgodności Banku odbywa się za zgodą Rady Nadzorczej Banku. </w:t>
      </w:r>
    </w:p>
    <w:p w14:paraId="57881EEA" w14:textId="77777777" w:rsidR="00C2453B" w:rsidRDefault="00C2453B" w:rsidP="00C2453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0E656FA8" w14:textId="77777777" w:rsidR="00D44A45" w:rsidRPr="007237F6" w:rsidRDefault="00D44A45" w:rsidP="00D44A45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3903B94A" w14:textId="77777777" w:rsidR="008973BE" w:rsidRPr="007237F6" w:rsidRDefault="008973BE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EE83142" w14:textId="77777777" w:rsidR="002A16E2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skutecznie zarządza ryzykiem występującym w jego działalności, w szczególności poprzez opracowanie i wdrożenie adekwatnego i skutecznego systemu zarządzania ryzykiem uwzględniającego strategię zarządzania ryzykiem obejmującą tolerancję na ryzyko określoną przez Bank.</w:t>
      </w:r>
    </w:p>
    <w:p w14:paraId="0CB6A7F7" w14:textId="0E3F2B14" w:rsidR="008973BE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ramach zarządzania ryzykiem Bank bierze pod uwagę wszystkie istotne rodzaje ryzyka,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należytym uwzględnieniem ryzyka zarówno finansowego, jak i niefinansowego, w tym ryzyka kredytowego, rynkowego, płynności, koncentracji, operacyjnego, informatycznego, utraty reputacji, prawnego, związanego z postępowaniem, zgodnością z prawem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strategicznego. </w:t>
      </w:r>
    </w:p>
    <w:p w14:paraId="5656734A" w14:textId="77777777" w:rsidR="008973BE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 proces zarządzania ryzykiem składa się jego identyfikacja, pomiar, szacowanie, monitorowanie oraz stosowanie mechanizmów kontrolujących i ograniczających zidentyfikowany, zmierzony lub oszacowany poziom ryzyka, a także sprawozdawczość ryzyka, tak aby Zarząd i wszystkie stosowne jednostki otrzymywały w stosownym czasie dokładne, zwięzłe i zrozumiałe i istotne sprawozdania oraz mogły wymieniać stosowne informacje dotyczące identyfikacji, pomiaru lub oceny i monitorowania ryzyka i zarządzania nim</w:t>
      </w:r>
      <w:r w:rsidR="008973BE" w:rsidRPr="007237F6">
        <w:rPr>
          <w:rFonts w:ascii="Garamond" w:hAnsi="Garamond"/>
          <w:sz w:val="24"/>
          <w:szCs w:val="24"/>
        </w:rPr>
        <w:t>.</w:t>
      </w:r>
    </w:p>
    <w:p w14:paraId="4D91BF70" w14:textId="4A9BB66B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System zarządzania ryzykiem zorganizowany jest adekwatnie do charakteru, skali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złożoności prowadzonej działalności przy uwzględnieniu strategicznych celów Banku,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tym strategii odnośnie do zarządzania ryzykiem uwzględniającej tolerancję na ryzyko określoną przez Bank.</w:t>
      </w:r>
    </w:p>
    <w:p w14:paraId="52B1F1F3" w14:textId="77777777" w:rsidR="0041628B" w:rsidRPr="007237F6" w:rsidRDefault="0041628B" w:rsidP="0041628B">
      <w:pPr>
        <w:pStyle w:val="Akapitzlist"/>
        <w:ind w:left="567"/>
        <w:jc w:val="both"/>
        <w:rPr>
          <w:rFonts w:ascii="Garamond" w:hAnsi="Garamond"/>
          <w:sz w:val="24"/>
          <w:szCs w:val="24"/>
        </w:rPr>
      </w:pPr>
    </w:p>
    <w:p w14:paraId="6B6A188E" w14:textId="77777777" w:rsidR="008973BE" w:rsidRPr="007237F6" w:rsidRDefault="008973BE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03CFCDD" w14:textId="18BA8D29" w:rsidR="008973BE" w:rsidRPr="007237F6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Niezależnie od zadań przypisanych komórkom organizacyjnym Banku i innym </w:t>
      </w:r>
      <w:r w:rsidR="00B43536" w:rsidRPr="007237F6">
        <w:rPr>
          <w:rFonts w:ascii="Garamond" w:hAnsi="Garamond"/>
          <w:sz w:val="24"/>
          <w:szCs w:val="24"/>
        </w:rPr>
        <w:t>jego organom</w:t>
      </w:r>
      <w:r w:rsidRPr="007237F6">
        <w:rPr>
          <w:rFonts w:ascii="Garamond" w:hAnsi="Garamond"/>
          <w:sz w:val="24"/>
          <w:szCs w:val="24"/>
        </w:rPr>
        <w:t>, odpowiedzialność za skuteczne zarządzanie ryzykiem ponosi Zarząd Banku.</w:t>
      </w:r>
    </w:p>
    <w:p w14:paraId="1EBD9F1A" w14:textId="05F5CF12" w:rsidR="002A16E2" w:rsidRDefault="002A16E2" w:rsidP="00B43536">
      <w:pPr>
        <w:pStyle w:val="Akapitzlist"/>
        <w:numPr>
          <w:ilvl w:val="1"/>
          <w:numId w:val="3"/>
        </w:numPr>
        <w:ind w:left="567" w:hanging="567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 Banku, uwzględniając charakter, skalę i złożoność prowadzonej działalności nie powinni łączyć odpowiedzialności za zarządzanie danym ryzykiem z odpowiedzialnością za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obszar działalności generujący to ryzyko. </w:t>
      </w:r>
    </w:p>
    <w:p w14:paraId="0F55BA2A" w14:textId="77777777" w:rsidR="005447E2" w:rsidRPr="001C04EB" w:rsidRDefault="005447E2" w:rsidP="001C04EB">
      <w:pPr>
        <w:jc w:val="both"/>
        <w:rPr>
          <w:rFonts w:ascii="Garamond" w:hAnsi="Garamond"/>
          <w:sz w:val="24"/>
          <w:szCs w:val="24"/>
        </w:rPr>
      </w:pPr>
    </w:p>
    <w:p w14:paraId="20D26333" w14:textId="4FFC4565" w:rsidR="00D44A45" w:rsidRDefault="00D44A45" w:rsidP="0041628B">
      <w:pPr>
        <w:pStyle w:val="Akapitzlist"/>
        <w:numPr>
          <w:ilvl w:val="0"/>
          <w:numId w:val="3"/>
        </w:numPr>
        <w:spacing w:after="0"/>
        <w:ind w:left="714" w:hanging="357"/>
        <w:jc w:val="center"/>
        <w:rPr>
          <w:rFonts w:ascii="Garamond" w:hAnsi="Garamond"/>
          <w:sz w:val="24"/>
          <w:szCs w:val="24"/>
        </w:rPr>
      </w:pPr>
    </w:p>
    <w:p w14:paraId="64C9772D" w14:textId="03201051" w:rsidR="00CF180B" w:rsidRPr="007237F6" w:rsidRDefault="00D44A45" w:rsidP="0041628B">
      <w:pPr>
        <w:spacing w:line="276" w:lineRule="auto"/>
        <w:ind w:firstLine="567"/>
        <w:jc w:val="both"/>
        <w:rPr>
          <w:rFonts w:ascii="Garamond" w:hAnsi="Garamond"/>
          <w:sz w:val="24"/>
          <w:szCs w:val="24"/>
        </w:rPr>
      </w:pPr>
      <w:r w:rsidRPr="00D44A45">
        <w:rPr>
          <w:rFonts w:ascii="Garamond" w:hAnsi="Garamond"/>
          <w:sz w:val="24"/>
          <w:szCs w:val="24"/>
        </w:rPr>
        <w:t xml:space="preserve">Rada Nadzorcza </w:t>
      </w:r>
      <w:r w:rsidR="00B43536" w:rsidRPr="00D44A45">
        <w:rPr>
          <w:rFonts w:ascii="Garamond" w:hAnsi="Garamond"/>
          <w:sz w:val="24"/>
          <w:szCs w:val="24"/>
        </w:rPr>
        <w:t>Banku zatwierdza</w:t>
      </w:r>
      <w:r w:rsidRPr="00D44A45">
        <w:rPr>
          <w:rFonts w:ascii="Garamond" w:hAnsi="Garamond"/>
          <w:sz w:val="24"/>
          <w:szCs w:val="24"/>
        </w:rPr>
        <w:t xml:space="preserve"> i nadzoruje realizację strategii zarządzania ryzykiem, sprawując nadzór nad skutecznością zarządzania ryzykiem. Zarząd Banku zapewnia otrzymywanie przez Radę Nadzorczą Banku regularnej i aktualnej informacji o ryzyku zidentyfikowanym w obecnej lub przyszłej działalności Banku, charakterze, skali i złożoności ryzyka oraz działaniach podejmowanych w ramach zarządzania tym ryzykiem, w tym także informacji od komórki audytu wewnętrznego Spółdzielni lub komórki do spraw zapewnienia zgodności Banku lub innej komórki lub osoby odpowiedzialnej w Banku za ten obszar.</w:t>
      </w:r>
      <w:bookmarkEnd w:id="1"/>
    </w:p>
    <w:sectPr w:rsidR="00CF180B" w:rsidRPr="007237F6" w:rsidSect="00942BE6">
      <w:headerReference w:type="default" r:id="rId11"/>
      <w:footerReference w:type="default" r:id="rId12"/>
      <w:pgSz w:w="11906" w:h="16838"/>
      <w:pgMar w:top="1134" w:right="113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5DEE" w14:textId="77777777" w:rsidR="00D04206" w:rsidRDefault="00D04206" w:rsidP="002A16E2">
      <w:r>
        <w:separator/>
      </w:r>
    </w:p>
  </w:endnote>
  <w:endnote w:type="continuationSeparator" w:id="0">
    <w:p w14:paraId="7410D420" w14:textId="77777777" w:rsidR="00D04206" w:rsidRDefault="00D04206" w:rsidP="002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9126"/>
      <w:docPartObj>
        <w:docPartGallery w:val="Page Numbers (Bottom of Page)"/>
        <w:docPartUnique/>
      </w:docPartObj>
    </w:sdtPr>
    <w:sdtEndPr/>
    <w:sdtContent>
      <w:p w14:paraId="36469C09" w14:textId="77777777" w:rsidR="00E952D7" w:rsidRDefault="00E952D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4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DCE2C8" w14:textId="77777777" w:rsidR="00E952D7" w:rsidRDefault="00E95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1052" w14:textId="77777777" w:rsidR="00D04206" w:rsidRDefault="00D04206" w:rsidP="002A16E2">
      <w:r>
        <w:separator/>
      </w:r>
    </w:p>
  </w:footnote>
  <w:footnote w:type="continuationSeparator" w:id="0">
    <w:p w14:paraId="00587B61" w14:textId="77777777" w:rsidR="00D04206" w:rsidRDefault="00D04206" w:rsidP="002A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1906" w14:textId="0B28CB9D" w:rsidR="00E952D7" w:rsidRDefault="00E952D7" w:rsidP="00942BE6">
    <w:pPr>
      <w:pStyle w:val="Nagwek"/>
      <w:jc w:val="center"/>
    </w:pPr>
    <w:r>
      <w:t xml:space="preserve">Polityka Ładu Korporacyjnego Banku Spółdzielczego w </w:t>
    </w:r>
    <w:r w:rsidR="006D633D">
      <w:t>Dzierzgoniu</w:t>
    </w:r>
  </w:p>
  <w:p w14:paraId="7137BFA9" w14:textId="77777777" w:rsidR="00E952D7" w:rsidRDefault="00E952D7" w:rsidP="00942BE6">
    <w:pPr>
      <w:pStyle w:val="Nagwek"/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F44"/>
    <w:multiLevelType w:val="hybridMultilevel"/>
    <w:tmpl w:val="C98C94A8"/>
    <w:lvl w:ilvl="0" w:tplc="76BC7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DB9"/>
    <w:multiLevelType w:val="hybridMultilevel"/>
    <w:tmpl w:val="A31C0592"/>
    <w:lvl w:ilvl="0" w:tplc="924E4D66">
      <w:start w:val="1"/>
      <w:numFmt w:val="decimal"/>
      <w:lvlText w:val="§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3AC838B6"/>
    <w:multiLevelType w:val="hybridMultilevel"/>
    <w:tmpl w:val="C7209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B3AF9"/>
    <w:multiLevelType w:val="hybridMultilevel"/>
    <w:tmpl w:val="6816B176"/>
    <w:lvl w:ilvl="0" w:tplc="B8C617F0">
      <w:start w:val="1"/>
      <w:numFmt w:val="decimal"/>
      <w:lvlText w:val="§%1."/>
      <w:lvlJc w:val="left"/>
      <w:pPr>
        <w:ind w:left="720" w:hanging="360"/>
      </w:pPr>
      <w:rPr>
        <w:rFonts w:cs="Times New Roman" w:hint="default"/>
        <w:b w:val="0"/>
      </w:rPr>
    </w:lvl>
    <w:lvl w:ilvl="1" w:tplc="CC0A35E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E92"/>
    <w:multiLevelType w:val="hybridMultilevel"/>
    <w:tmpl w:val="E79E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E2"/>
    <w:rsid w:val="00026064"/>
    <w:rsid w:val="0007510A"/>
    <w:rsid w:val="00096C0C"/>
    <w:rsid w:val="00117833"/>
    <w:rsid w:val="0016064C"/>
    <w:rsid w:val="001673EB"/>
    <w:rsid w:val="00173ECD"/>
    <w:rsid w:val="001A75D3"/>
    <w:rsid w:val="001C04EB"/>
    <w:rsid w:val="001D0DEE"/>
    <w:rsid w:val="001E134A"/>
    <w:rsid w:val="001E632D"/>
    <w:rsid w:val="002229A5"/>
    <w:rsid w:val="00244353"/>
    <w:rsid w:val="002450C7"/>
    <w:rsid w:val="002A16E2"/>
    <w:rsid w:val="002B7612"/>
    <w:rsid w:val="002D31F5"/>
    <w:rsid w:val="002E3D78"/>
    <w:rsid w:val="00326E4D"/>
    <w:rsid w:val="00337601"/>
    <w:rsid w:val="00344CB7"/>
    <w:rsid w:val="00386EFB"/>
    <w:rsid w:val="003C1CA3"/>
    <w:rsid w:val="003D0D0B"/>
    <w:rsid w:val="003F244A"/>
    <w:rsid w:val="003F29F4"/>
    <w:rsid w:val="003F7A2A"/>
    <w:rsid w:val="00410E5B"/>
    <w:rsid w:val="0041273E"/>
    <w:rsid w:val="0041628B"/>
    <w:rsid w:val="0043051F"/>
    <w:rsid w:val="0048086F"/>
    <w:rsid w:val="00481C91"/>
    <w:rsid w:val="00487C76"/>
    <w:rsid w:val="00542929"/>
    <w:rsid w:val="005447E2"/>
    <w:rsid w:val="00564BED"/>
    <w:rsid w:val="005869B0"/>
    <w:rsid w:val="005A14D2"/>
    <w:rsid w:val="005C1112"/>
    <w:rsid w:val="005C423C"/>
    <w:rsid w:val="005F294E"/>
    <w:rsid w:val="00616034"/>
    <w:rsid w:val="006477F0"/>
    <w:rsid w:val="0066089A"/>
    <w:rsid w:val="00694EAD"/>
    <w:rsid w:val="006C0BB2"/>
    <w:rsid w:val="006C62DB"/>
    <w:rsid w:val="006D633D"/>
    <w:rsid w:val="006E1082"/>
    <w:rsid w:val="006F6248"/>
    <w:rsid w:val="00716912"/>
    <w:rsid w:val="007237F6"/>
    <w:rsid w:val="00752FC9"/>
    <w:rsid w:val="00753028"/>
    <w:rsid w:val="00775CF3"/>
    <w:rsid w:val="007A3B87"/>
    <w:rsid w:val="007D5320"/>
    <w:rsid w:val="00811754"/>
    <w:rsid w:val="008372F8"/>
    <w:rsid w:val="008478D5"/>
    <w:rsid w:val="0085522A"/>
    <w:rsid w:val="008973BE"/>
    <w:rsid w:val="008B2A02"/>
    <w:rsid w:val="008B6B2D"/>
    <w:rsid w:val="008B7B1C"/>
    <w:rsid w:val="008D0154"/>
    <w:rsid w:val="008D5158"/>
    <w:rsid w:val="008E1FCA"/>
    <w:rsid w:val="00925E36"/>
    <w:rsid w:val="00931DDD"/>
    <w:rsid w:val="00942BE6"/>
    <w:rsid w:val="00984DD5"/>
    <w:rsid w:val="009927AB"/>
    <w:rsid w:val="00A168AF"/>
    <w:rsid w:val="00AA35A4"/>
    <w:rsid w:val="00AD0814"/>
    <w:rsid w:val="00AE5AB0"/>
    <w:rsid w:val="00B43536"/>
    <w:rsid w:val="00B71192"/>
    <w:rsid w:val="00B96145"/>
    <w:rsid w:val="00BA3D71"/>
    <w:rsid w:val="00BD6874"/>
    <w:rsid w:val="00C2453B"/>
    <w:rsid w:val="00C2542F"/>
    <w:rsid w:val="00C27CF3"/>
    <w:rsid w:val="00C3712F"/>
    <w:rsid w:val="00CB2597"/>
    <w:rsid w:val="00CB46D6"/>
    <w:rsid w:val="00CB6628"/>
    <w:rsid w:val="00CD69C6"/>
    <w:rsid w:val="00CE6F7A"/>
    <w:rsid w:val="00CE78D2"/>
    <w:rsid w:val="00CF180B"/>
    <w:rsid w:val="00CF7C80"/>
    <w:rsid w:val="00D04206"/>
    <w:rsid w:val="00D335C2"/>
    <w:rsid w:val="00D44A45"/>
    <w:rsid w:val="00D47DD8"/>
    <w:rsid w:val="00D875BB"/>
    <w:rsid w:val="00DB16FF"/>
    <w:rsid w:val="00E30C6A"/>
    <w:rsid w:val="00E92EC4"/>
    <w:rsid w:val="00E952D7"/>
    <w:rsid w:val="00ED53F3"/>
    <w:rsid w:val="00EE6F8D"/>
    <w:rsid w:val="00EF191D"/>
    <w:rsid w:val="00F31381"/>
    <w:rsid w:val="00F848E9"/>
    <w:rsid w:val="00F87AB8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B4C"/>
  <w15:docId w15:val="{B8E6A032-E3CF-4D2F-97C0-3A9F112C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6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16E2"/>
    <w:pPr>
      <w:keepNext/>
      <w:spacing w:line="360" w:lineRule="auto"/>
      <w:jc w:val="center"/>
      <w:outlineLvl w:val="3"/>
    </w:pPr>
    <w:rPr>
      <w:rFonts w:eastAsia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16E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E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16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16E2"/>
    <w:rPr>
      <w:color w:val="0563C1" w:themeColor="hyperlink"/>
      <w:u w:val="single"/>
    </w:rPr>
  </w:style>
  <w:style w:type="paragraph" w:customStyle="1" w:styleId="Default">
    <w:name w:val="Default"/>
    <w:rsid w:val="002A1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E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1E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sdzierzg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dzierzgo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655D-B466-453A-A4D7-F5EB0D3E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22</Pages>
  <Words>7902</Words>
  <Characters>47416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Gosk</dc:creator>
  <cp:lastModifiedBy>JaninaC</cp:lastModifiedBy>
  <cp:revision>22</cp:revision>
  <cp:lastPrinted>2019-05-09T08:35:00Z</cp:lastPrinted>
  <dcterms:created xsi:type="dcterms:W3CDTF">2019-05-09T06:50:00Z</dcterms:created>
  <dcterms:modified xsi:type="dcterms:W3CDTF">2020-09-11T07:35:00Z</dcterms:modified>
</cp:coreProperties>
</file>