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BD" w:rsidRPr="00645DBD" w:rsidRDefault="00BD2682" w:rsidP="00645DBD">
      <w:pPr>
        <w:spacing w:after="0"/>
        <w:jc w:val="right"/>
        <w:rPr>
          <w:b/>
        </w:rPr>
      </w:pPr>
      <w:r>
        <w:t xml:space="preserve">    </w:t>
      </w:r>
      <w:r w:rsidR="003C76DC">
        <w:t xml:space="preserve">                                                                </w:t>
      </w:r>
      <w:r w:rsidR="003C76DC" w:rsidRPr="00645DBD">
        <w:rPr>
          <w:b/>
        </w:rPr>
        <w:t xml:space="preserve">Uchwała Zarządu </w:t>
      </w:r>
      <w:r w:rsidR="00645DBD" w:rsidRPr="00645DBD">
        <w:rPr>
          <w:b/>
        </w:rPr>
        <w:t xml:space="preserve">Banku Spółdzielczego </w:t>
      </w:r>
    </w:p>
    <w:p w:rsidR="00645DBD" w:rsidRPr="00645DBD" w:rsidRDefault="00645DBD" w:rsidP="00645DBD">
      <w:pPr>
        <w:spacing w:after="0"/>
        <w:jc w:val="right"/>
        <w:rPr>
          <w:b/>
        </w:rPr>
      </w:pPr>
      <w:r w:rsidRPr="00645DBD">
        <w:rPr>
          <w:b/>
        </w:rPr>
        <w:t xml:space="preserve"> w Dzierzgoniu </w:t>
      </w:r>
      <w:r w:rsidR="003C76DC" w:rsidRPr="00645DBD">
        <w:rPr>
          <w:b/>
        </w:rPr>
        <w:t>nr 4</w:t>
      </w:r>
      <w:r w:rsidR="00142B9C">
        <w:rPr>
          <w:b/>
        </w:rPr>
        <w:t>2</w:t>
      </w:r>
      <w:r w:rsidR="003C76DC" w:rsidRPr="00645DBD">
        <w:rPr>
          <w:b/>
        </w:rPr>
        <w:t xml:space="preserve">/2020 </w:t>
      </w:r>
    </w:p>
    <w:p w:rsidR="00BD2682" w:rsidRPr="00645DBD" w:rsidRDefault="003C76DC" w:rsidP="00645DBD">
      <w:pPr>
        <w:spacing w:after="0"/>
        <w:jc w:val="right"/>
        <w:rPr>
          <w:b/>
        </w:rPr>
      </w:pPr>
      <w:r w:rsidRPr="00645DBD">
        <w:rPr>
          <w:b/>
        </w:rPr>
        <w:t>z dnia 30.09.2020 r.</w:t>
      </w:r>
    </w:p>
    <w:p w:rsidR="003C76DC" w:rsidRDefault="003C76DC"/>
    <w:p w:rsidR="003C76DC" w:rsidRDefault="003C76DC"/>
    <w:p w:rsidR="003C76DC" w:rsidRDefault="003C76DC"/>
    <w:p w:rsidR="00BD2682" w:rsidRDefault="003C76DC">
      <w:r>
        <w:rPr>
          <w:b/>
          <w:noProof/>
          <w:sz w:val="32"/>
        </w:rPr>
        <w:t xml:space="preserve">                       </w:t>
      </w:r>
      <w:r w:rsidRPr="00AA755D">
        <w:rPr>
          <w:b/>
          <w:noProof/>
          <w:sz w:val="32"/>
          <w:lang w:eastAsia="pl-PL"/>
        </w:rPr>
        <w:drawing>
          <wp:inline distT="0" distB="0" distL="0" distR="0" wp14:anchorId="150D3A1C" wp14:editId="377AF015">
            <wp:extent cx="3105785" cy="1026795"/>
            <wp:effectExtent l="19050" t="0" r="0" b="0"/>
            <wp:docPr id="1" name="Obraz 1" descr="logo_SGB-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SGB-Ban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20" w:rsidRPr="00645DBD" w:rsidRDefault="00BD2682">
      <w:pPr>
        <w:rPr>
          <w:b/>
          <w:sz w:val="40"/>
          <w:szCs w:val="40"/>
        </w:rPr>
      </w:pPr>
      <w:r>
        <w:t xml:space="preserve">                                    </w:t>
      </w:r>
      <w:r w:rsidR="00645DBD" w:rsidRPr="00645DBD">
        <w:rPr>
          <w:b/>
        </w:rPr>
        <w:t>BANK SPÓŁDZIELCZY W DZIERZGONIU</w:t>
      </w:r>
    </w:p>
    <w:p w:rsidR="003C76DC" w:rsidRDefault="003C76DC">
      <w:pPr>
        <w:rPr>
          <w:sz w:val="40"/>
          <w:szCs w:val="40"/>
        </w:rPr>
      </w:pPr>
    </w:p>
    <w:p w:rsidR="00EC76B8" w:rsidRDefault="00EC76B8">
      <w:pPr>
        <w:rPr>
          <w:sz w:val="40"/>
          <w:szCs w:val="40"/>
        </w:rPr>
      </w:pPr>
    </w:p>
    <w:p w:rsidR="003C76DC" w:rsidRPr="00645DBD" w:rsidRDefault="003C76DC" w:rsidP="00645DBD">
      <w:pPr>
        <w:jc w:val="center"/>
        <w:rPr>
          <w:b/>
          <w:sz w:val="28"/>
          <w:szCs w:val="28"/>
        </w:rPr>
      </w:pPr>
      <w:r w:rsidRPr="00645DBD">
        <w:rPr>
          <w:b/>
          <w:sz w:val="28"/>
          <w:szCs w:val="28"/>
        </w:rPr>
        <w:t>Regulamin świadczenia usług identyfi</w:t>
      </w:r>
      <w:r w:rsidR="00645DBD">
        <w:rPr>
          <w:b/>
          <w:sz w:val="28"/>
          <w:szCs w:val="28"/>
        </w:rPr>
        <w:t xml:space="preserve">kacji elektronicznej SGB ID </w:t>
      </w:r>
      <w:r w:rsidRPr="00645DBD">
        <w:rPr>
          <w:b/>
          <w:sz w:val="28"/>
          <w:szCs w:val="28"/>
        </w:rPr>
        <w:t>dla klientów indywidualnych.</w:t>
      </w:r>
    </w:p>
    <w:p w:rsidR="003C76DC" w:rsidRDefault="003C76DC">
      <w:pPr>
        <w:rPr>
          <w:sz w:val="28"/>
          <w:szCs w:val="28"/>
        </w:rPr>
      </w:pPr>
    </w:p>
    <w:p w:rsidR="003C76DC" w:rsidRDefault="003C76DC">
      <w:pPr>
        <w:rPr>
          <w:sz w:val="28"/>
          <w:szCs w:val="28"/>
        </w:rPr>
      </w:pPr>
    </w:p>
    <w:p w:rsidR="003C76DC" w:rsidRPr="003C76DC" w:rsidRDefault="003C76DC">
      <w:pPr>
        <w:rPr>
          <w:sz w:val="28"/>
          <w:szCs w:val="28"/>
        </w:rPr>
      </w:pPr>
    </w:p>
    <w:p w:rsidR="00BD2682" w:rsidRDefault="00BD2682"/>
    <w:p w:rsidR="00BD2682" w:rsidRDefault="00BD2682"/>
    <w:p w:rsidR="00BD2682" w:rsidRDefault="00BD2682"/>
    <w:p w:rsidR="00BD2682" w:rsidRDefault="00BD2682"/>
    <w:p w:rsidR="003C76DC" w:rsidRDefault="003C76DC"/>
    <w:p w:rsidR="003C76DC" w:rsidRDefault="003C76DC"/>
    <w:p w:rsidR="003C76DC" w:rsidRDefault="003C76DC"/>
    <w:p w:rsidR="003C76DC" w:rsidRDefault="003C76DC"/>
    <w:p w:rsidR="003C76DC" w:rsidRDefault="003C76DC"/>
    <w:p w:rsidR="003C76DC" w:rsidRDefault="003C76DC"/>
    <w:p w:rsidR="003C76DC" w:rsidRDefault="003C76DC"/>
    <w:p w:rsidR="003C76DC" w:rsidRDefault="003C76DC"/>
    <w:p w:rsidR="003C76DC" w:rsidRPr="00EC76B8" w:rsidRDefault="00EC76B8" w:rsidP="00EC76B8">
      <w:pPr>
        <w:jc w:val="center"/>
      </w:pPr>
      <w:r>
        <w:t>Dzierzgoń, wrzesień 2020 r.</w:t>
      </w:r>
    </w:p>
    <w:p w:rsidR="009673A1" w:rsidRPr="000C161C" w:rsidRDefault="009673A1" w:rsidP="00EC76B8">
      <w:pPr>
        <w:jc w:val="center"/>
        <w:rPr>
          <w:b/>
          <w:color w:val="538135" w:themeColor="accent6" w:themeShade="BF"/>
        </w:rPr>
      </w:pPr>
      <w:r w:rsidRPr="000C161C">
        <w:rPr>
          <w:b/>
          <w:color w:val="538135" w:themeColor="accent6" w:themeShade="BF"/>
        </w:rPr>
        <w:lastRenderedPageBreak/>
        <w:t>Postanowienie ogólne</w:t>
      </w:r>
    </w:p>
    <w:p w:rsidR="003C76DC" w:rsidRDefault="009673A1" w:rsidP="00EC76B8">
      <w:pPr>
        <w:jc w:val="center"/>
      </w:pPr>
      <w:r w:rsidRPr="00AA755D">
        <w:t>§ 1</w:t>
      </w:r>
    </w:p>
    <w:p w:rsidR="00645DBD" w:rsidRDefault="00645DBD"/>
    <w:p w:rsidR="009673A1" w:rsidRDefault="009673A1" w:rsidP="00645DBD">
      <w:pPr>
        <w:jc w:val="both"/>
      </w:pPr>
      <w:r>
        <w:t xml:space="preserve">Niniejszym regulamin określa sposób i warunki korzystania z usług identyfikacji elektronicznej </w:t>
      </w:r>
      <w:r w:rsidR="000C161C">
        <w:t xml:space="preserve">  </w:t>
      </w:r>
      <w:r>
        <w:t>SGB ID świadczonych przez bank w bankowości internetowej.</w:t>
      </w:r>
    </w:p>
    <w:p w:rsidR="009673A1" w:rsidRPr="000C161C" w:rsidRDefault="009673A1" w:rsidP="009673A1">
      <w:pPr>
        <w:ind w:left="-851"/>
        <w:rPr>
          <w:color w:val="538135" w:themeColor="accent6" w:themeShade="BF"/>
        </w:rPr>
      </w:pPr>
    </w:p>
    <w:p w:rsidR="00645DBD" w:rsidRDefault="009673A1" w:rsidP="00EC76B8">
      <w:pPr>
        <w:jc w:val="center"/>
        <w:rPr>
          <w:b/>
          <w:color w:val="538135" w:themeColor="accent6" w:themeShade="BF"/>
        </w:rPr>
      </w:pPr>
      <w:r w:rsidRPr="000C161C">
        <w:rPr>
          <w:b/>
          <w:color w:val="538135" w:themeColor="accent6" w:themeShade="BF"/>
        </w:rPr>
        <w:t>Definicje</w:t>
      </w:r>
    </w:p>
    <w:p w:rsidR="009673A1" w:rsidRDefault="009673A1" w:rsidP="00EC76B8">
      <w:pPr>
        <w:jc w:val="center"/>
      </w:pPr>
      <w:r>
        <w:t>§ 2</w:t>
      </w:r>
    </w:p>
    <w:p w:rsidR="009673A1" w:rsidRDefault="009673A1" w:rsidP="00645DBD">
      <w:pPr>
        <w:pStyle w:val="Akapitzlist"/>
        <w:numPr>
          <w:ilvl w:val="0"/>
          <w:numId w:val="1"/>
        </w:numPr>
        <w:ind w:left="284" w:hanging="284"/>
        <w:jc w:val="both"/>
      </w:pPr>
      <w:r>
        <w:t>Użyte w niniejszym regulaminie definicje maja następujące znaczenie:</w:t>
      </w:r>
    </w:p>
    <w:p w:rsidR="009673A1" w:rsidRDefault="009673A1" w:rsidP="00645DBD">
      <w:pPr>
        <w:pStyle w:val="Akapitzlist"/>
        <w:numPr>
          <w:ilvl w:val="0"/>
          <w:numId w:val="2"/>
        </w:numPr>
        <w:jc w:val="both"/>
      </w:pPr>
      <w:r w:rsidRPr="006B14EF">
        <w:rPr>
          <w:b/>
        </w:rPr>
        <w:t xml:space="preserve">Bank </w:t>
      </w:r>
      <w:r>
        <w:t>– SGB- Bank S.A z siedzibą w Poznaniu lub dany bank spółdzielczy ;</w:t>
      </w:r>
    </w:p>
    <w:p w:rsidR="009673A1" w:rsidRDefault="009673A1" w:rsidP="00645DBD">
      <w:pPr>
        <w:pStyle w:val="Akapitzlist"/>
        <w:ind w:left="709"/>
        <w:jc w:val="both"/>
      </w:pPr>
      <w:r>
        <w:t>Podczas świadczenia usług identyfikacji elektronicznej SGB ID, bank pełni rolę dostawcy tożsamości;</w:t>
      </w:r>
    </w:p>
    <w:p w:rsidR="009673A1" w:rsidRDefault="006B14EF" w:rsidP="00645DBD">
      <w:pPr>
        <w:pStyle w:val="Akapitzlist"/>
        <w:numPr>
          <w:ilvl w:val="0"/>
          <w:numId w:val="2"/>
        </w:numPr>
        <w:jc w:val="both"/>
      </w:pPr>
      <w:r w:rsidRPr="006B14EF">
        <w:rPr>
          <w:b/>
        </w:rPr>
        <w:t xml:space="preserve">Bankowość internetowa </w:t>
      </w:r>
      <w:r w:rsidRPr="0032596B">
        <w:t xml:space="preserve">- </w:t>
      </w:r>
      <w:r w:rsidR="009673A1" w:rsidRPr="0032596B">
        <w:t xml:space="preserve"> </w:t>
      </w:r>
      <w:r w:rsidR="0032596B" w:rsidRPr="0032596B">
        <w:t>usługa świadczona przez bank na podstawie umowy BE, zapewniająca dostęp do i</w:t>
      </w:r>
      <w:r w:rsidR="0032596B">
        <w:t>nformacji o produktach i usługach w banku oraz składanie dyspozycji z wykorzystaniem internetu i urządzenia wyposażonego w przeglądarkę internetową;</w:t>
      </w:r>
    </w:p>
    <w:p w:rsidR="0032596B" w:rsidRDefault="0032596B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Dane identyfikujące osobę</w:t>
      </w:r>
      <w:r>
        <w:t xml:space="preserve"> – zestaw danych umożliwiających ustalenie tożsamości użytkownika w rozumieniu rozporządzenia rIDAS;</w:t>
      </w:r>
    </w:p>
    <w:p w:rsidR="0032596B" w:rsidRDefault="0032596B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Identyfikacja elektroniczna</w:t>
      </w:r>
      <w:r>
        <w:t xml:space="preserve"> – proces używania danych w postaci elektronicznej identyfikujących użytkownika, unikalnie reprezentujących użytkownika, w rozumieniu rozporządzenia eIDAS;</w:t>
      </w:r>
    </w:p>
    <w:p w:rsidR="0032596B" w:rsidRDefault="0032596B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 xml:space="preserve">Regulamin </w:t>
      </w:r>
      <w:r>
        <w:t>-  niniejszy regulamin świadczenia usługi identyfikacji elektronicznej SGB ID przez bank;</w:t>
      </w:r>
    </w:p>
    <w:p w:rsidR="0032596B" w:rsidRDefault="0032596B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Przekazanie danych</w:t>
      </w:r>
      <w:r>
        <w:t xml:space="preserve">  - uwolnienie danych pochodzących ze środka identyfikacji elektronicznej lub przekazanie danych pochodzących spoza tego środka;</w:t>
      </w:r>
    </w:p>
    <w:p w:rsidR="0032596B" w:rsidRDefault="0032596B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Rozporządzenie eIDAS</w:t>
      </w:r>
      <w:r>
        <w:t xml:space="preserve"> </w:t>
      </w:r>
      <w:r w:rsidR="00620A0E">
        <w:t>–</w:t>
      </w:r>
      <w:r>
        <w:t xml:space="preserve"> </w:t>
      </w:r>
      <w:r w:rsidR="00620A0E">
        <w:t>rozporządzenie Parlamentu Europejskiego i rady (UE) Nr 910/2014 z dnia 23 lipca 2014 r. w sprawie identyfikacji elektronicznej i usługi zaufania w odniesieniu do transakcji elektronicznej na rynku wewnętrznym oraz uchylające dyrektywę</w:t>
      </w:r>
      <w:r w:rsidR="00620A0E">
        <w:fldChar w:fldCharType="begin"/>
      </w:r>
      <w:r w:rsidR="00620A0E">
        <w:instrText xml:space="preserve"> LISTNUM </w:instrText>
      </w:r>
      <w:r w:rsidR="00620A0E">
        <w:fldChar w:fldCharType="end"/>
      </w:r>
      <w:r w:rsidR="00620A0E">
        <w:t xml:space="preserve"> 1999/93/WE;</w:t>
      </w:r>
    </w:p>
    <w:p w:rsidR="00620A0E" w:rsidRDefault="00620A0E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Strona ufająca</w:t>
      </w:r>
      <w:r>
        <w:t xml:space="preserve"> – osoba fizyczna, osoba prawna albo jednostka organizacyjna nieposiadająca osobowości prawnej lecz posiadająca na mocy ustawy zdolność prawną podmiotu, który polega na identyfikacji elektronicznej;</w:t>
      </w:r>
    </w:p>
    <w:p w:rsidR="00620A0E" w:rsidRDefault="00620A0E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Środek identyfikacji elektronicznej/ŚIE</w:t>
      </w:r>
      <w:r>
        <w:t xml:space="preserve"> – materialna lub niematerialna jednostka zawierająca dane identyfikujące osobę i używana do celów uwierzytelnienia dla usługi online, w rozumieniu Rozporządzenia eIDAS;</w:t>
      </w:r>
    </w:p>
    <w:p w:rsidR="00620A0E" w:rsidRDefault="00620A0E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Węzeł krajowy</w:t>
      </w:r>
      <w:r>
        <w:t xml:space="preserve"> – rozwiązanie organizacyjno- techniczne, o którym mowa w ustawie z dnia 5 września 2016 r. o usługach zaufania oraz identyfikacji elektronicznej, umożliwiające utworzenie użytkownika systemu</w:t>
      </w:r>
      <w:r w:rsidR="00AB7761">
        <w:t xml:space="preserve"> teleinformatycznego, </w:t>
      </w:r>
      <w:r>
        <w:t xml:space="preserve"> </w:t>
      </w:r>
      <w:r w:rsidR="00AB7761">
        <w:t>korzystającego z usługi online, z wykorzystaniem środka identyfikacji elektronicznej wydanego w systemie</w:t>
      </w:r>
      <w:r w:rsidR="00842E52">
        <w:t xml:space="preserve"> identyfikacji elektronicznej </w:t>
      </w:r>
      <w:r w:rsidR="00EA2730">
        <w:t xml:space="preserve"> </w:t>
      </w:r>
      <w:r w:rsidR="00842E52">
        <w:t>przyłączonym do tego węzła bezpośrednio albo za pośrednictwem węzła transgranicznego;</w:t>
      </w:r>
    </w:p>
    <w:p w:rsidR="00842E52" w:rsidRDefault="00842E52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lastRenderedPageBreak/>
        <w:t>Usługa identyfikacji elektronicznej SGB/usługa SGB</w:t>
      </w:r>
      <w:r>
        <w:t xml:space="preserve"> ID – proces weryfikacji danych użytkownika i wydanie środka identyfikacji elektronicznej oraz jego obsługa, w tym jego zawieszenie oraz uwalnianie danych;</w:t>
      </w:r>
    </w:p>
    <w:p w:rsidR="00842E52" w:rsidRDefault="00842E52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Umowa BE</w:t>
      </w:r>
      <w:r>
        <w:t xml:space="preserve"> – umowa o korzystanie z bankowości internetowej, zawarta przez użytkownika z bankiem, wraz z odpowiednim regulaminem, na podstawie którego bank świadczy usługę bankowości internetowej na rzecz użytkownika;</w:t>
      </w:r>
    </w:p>
    <w:p w:rsidR="00842E52" w:rsidRDefault="00842E52" w:rsidP="00645DBD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 xml:space="preserve">Uwierzytelnienie </w:t>
      </w:r>
      <w:r>
        <w:t>– w przypadku użycia środków identyfikacji elektronicznej oznacza proces elektroniczny, który umożliwia identyfikację elektroniczną użytkownika, lub potwierdzenie pochodzenia oraz integralności weryfikowanych danych w postaci elektronicznej w rozumieniu rozporządzenia eIDAS;</w:t>
      </w:r>
    </w:p>
    <w:p w:rsidR="00A547C2" w:rsidRDefault="00842E52" w:rsidP="00A547C2">
      <w:pPr>
        <w:pStyle w:val="Akapitzlist"/>
        <w:numPr>
          <w:ilvl w:val="0"/>
          <w:numId w:val="2"/>
        </w:numPr>
        <w:jc w:val="both"/>
      </w:pPr>
      <w:r w:rsidRPr="00A547C2">
        <w:rPr>
          <w:b/>
        </w:rPr>
        <w:t>Użytkownik</w:t>
      </w:r>
      <w:r>
        <w:t xml:space="preserve"> – osoba fizyczna będąca konsumentem, która zawarła z bankiem umowę BE.</w:t>
      </w:r>
    </w:p>
    <w:p w:rsidR="00A547C2" w:rsidRDefault="00A547C2" w:rsidP="00645DBD">
      <w:pPr>
        <w:pStyle w:val="Akapitzlist"/>
        <w:numPr>
          <w:ilvl w:val="0"/>
          <w:numId w:val="1"/>
        </w:numPr>
        <w:ind w:left="284" w:hanging="284"/>
        <w:jc w:val="both"/>
      </w:pPr>
      <w:r>
        <w:t>Definicje i skróty w niniejszym regulaminie mają znaczenie przypisane im w umowie BE, jeżeli inne znaczenie danej definicji lub skrótu nie wynika wprost z postanowień niniejszego regulaminu.</w:t>
      </w:r>
    </w:p>
    <w:p w:rsidR="000C161C" w:rsidRDefault="000C161C" w:rsidP="000C161C">
      <w:pPr>
        <w:pStyle w:val="Akapitzlist"/>
      </w:pPr>
    </w:p>
    <w:p w:rsidR="00A547C2" w:rsidRPr="00A547C2" w:rsidRDefault="00A547C2" w:rsidP="00645DBD">
      <w:pPr>
        <w:jc w:val="center"/>
        <w:rPr>
          <w:b/>
          <w:color w:val="2E74B5" w:themeColor="accent1" w:themeShade="BF"/>
        </w:rPr>
      </w:pPr>
      <w:r w:rsidRPr="000C161C">
        <w:rPr>
          <w:b/>
          <w:color w:val="538135" w:themeColor="accent6" w:themeShade="BF"/>
        </w:rPr>
        <w:t>Zasady korzystania z usługi SGB ID</w:t>
      </w:r>
    </w:p>
    <w:p w:rsidR="009863EA" w:rsidRDefault="00342788" w:rsidP="00342788">
      <w:pPr>
        <w:jc w:val="center"/>
      </w:pPr>
      <w:r>
        <w:t>§ 3</w:t>
      </w:r>
    </w:p>
    <w:p w:rsidR="00A547C2" w:rsidRDefault="00A547C2" w:rsidP="00645DBD">
      <w:pPr>
        <w:pStyle w:val="Akapitzlist"/>
        <w:numPr>
          <w:ilvl w:val="0"/>
          <w:numId w:val="3"/>
        </w:numPr>
        <w:jc w:val="both"/>
      </w:pPr>
      <w:r>
        <w:t>Bank wydaje jednorazowe środki identyfikacji elektronicznej, co oznacza że</w:t>
      </w:r>
      <w:r w:rsidR="002E7F2A">
        <w:t xml:space="preserve"> przekazanie danych w ramach ŚIE</w:t>
      </w:r>
      <w:bookmarkStart w:id="0" w:name="_GoBack"/>
      <w:bookmarkEnd w:id="0"/>
      <w:r>
        <w:t xml:space="preserve"> następuje jednorazowo i ŚIE tracą ważność natychmiast po uwolnieniu danych.</w:t>
      </w:r>
    </w:p>
    <w:p w:rsidR="00A547C2" w:rsidRDefault="00A547C2" w:rsidP="00645DBD">
      <w:pPr>
        <w:pStyle w:val="Akapitzlist"/>
        <w:numPr>
          <w:ilvl w:val="0"/>
          <w:numId w:val="3"/>
        </w:numPr>
        <w:jc w:val="both"/>
      </w:pPr>
      <w:r>
        <w:t>Bank świadczy usługę SGB ID na rzecz użytkownika nieodpłatnie w ramach bankowości internetowej.</w:t>
      </w:r>
    </w:p>
    <w:p w:rsidR="00A547C2" w:rsidRDefault="00A547C2" w:rsidP="00645DBD">
      <w:pPr>
        <w:pStyle w:val="Akapitzlist"/>
        <w:numPr>
          <w:ilvl w:val="0"/>
          <w:numId w:val="3"/>
        </w:numPr>
        <w:jc w:val="both"/>
      </w:pPr>
      <w:r>
        <w:t>Dane przekazywane ( uwalnianie) w ramach usługi SGB ID pochodzą  za wydnego przez bank, na wniosek użytkownika , środka identyfikacji elektronicznej, w przypadku gdy bank przekazuje: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Pierwsze imię;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Nazwisko;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Numer PESEL;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Datę urodzenia;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Miejsce urodzenia;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Płeć;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Kraj urodzenia;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Obywatelstwo;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Typ dokumentu tożsamości;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Serię i numer dokumentu tożsamości;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Datę ważności dokumentu tożsamości;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Pełnoletność;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Potwierdzenie numeru telefonu;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>Nazwisko rodowe;</w:t>
      </w:r>
    </w:p>
    <w:p w:rsidR="00A547C2" w:rsidRDefault="00A547C2" w:rsidP="00645DBD">
      <w:pPr>
        <w:pStyle w:val="Akapitzlist"/>
        <w:numPr>
          <w:ilvl w:val="0"/>
          <w:numId w:val="4"/>
        </w:numPr>
        <w:ind w:hanging="316"/>
        <w:jc w:val="both"/>
      </w:pPr>
      <w:r>
        <w:t xml:space="preserve">Adres zamieszkania   </w:t>
      </w:r>
    </w:p>
    <w:p w:rsidR="009863EA" w:rsidRDefault="009863EA" w:rsidP="00645DBD">
      <w:pPr>
        <w:pStyle w:val="Akapitzlist"/>
        <w:ind w:left="600"/>
        <w:jc w:val="both"/>
      </w:pPr>
    </w:p>
    <w:p w:rsidR="009863EA" w:rsidRDefault="009863EA" w:rsidP="00645DBD">
      <w:pPr>
        <w:pStyle w:val="Akapitzlist"/>
        <w:numPr>
          <w:ilvl w:val="0"/>
          <w:numId w:val="3"/>
        </w:numPr>
        <w:jc w:val="both"/>
      </w:pPr>
      <w:r>
        <w:t>W celu świadczenia usługi SGB ID wymagane są dane wskazane w ust .3 pkt 1-5.</w:t>
      </w:r>
    </w:p>
    <w:p w:rsidR="009863EA" w:rsidRDefault="009863EA" w:rsidP="00645DBD">
      <w:pPr>
        <w:pStyle w:val="Akapitzlist"/>
        <w:numPr>
          <w:ilvl w:val="0"/>
          <w:numId w:val="3"/>
        </w:numPr>
        <w:jc w:val="both"/>
      </w:pPr>
      <w:r>
        <w:t>Z uwzględnieniem ust. 4, w ramach usługi SGB ID bank może przekazywać dane wskazane w ust. 3 pkt. 6-17, pod warunkiem że bank dysponuje takimi danymi.</w:t>
      </w:r>
    </w:p>
    <w:p w:rsidR="009863EA" w:rsidRDefault="009863EA" w:rsidP="00645DBD">
      <w:pPr>
        <w:pStyle w:val="Akapitzlist"/>
        <w:numPr>
          <w:ilvl w:val="0"/>
          <w:numId w:val="3"/>
        </w:numPr>
        <w:jc w:val="both"/>
      </w:pPr>
      <w:r>
        <w:t>Dane takie jak numer rachunku, informacja od kiedy użytkownik jest klientem banku, adres e-mail, numer telefonu komórkowego, numer telefonu stacjonarnego, lub adresu do korespondencji, mogą być przekazywane w ramach świadczeń usługi SGB ID za zgodą użytkownika.</w:t>
      </w:r>
    </w:p>
    <w:p w:rsidR="009863EA" w:rsidRDefault="009863EA" w:rsidP="00645DBD">
      <w:pPr>
        <w:pStyle w:val="Akapitzlist"/>
        <w:numPr>
          <w:ilvl w:val="0"/>
          <w:numId w:val="3"/>
        </w:numPr>
        <w:jc w:val="both"/>
      </w:pPr>
      <w:r>
        <w:t>Przekazanie ( uwolnienie) danych w ramach ŚIE lub informacji wymaga autoryzacji dyspozycji przez użytkownika z użyciem indywidualnych danych uwierzytelniających</w:t>
      </w:r>
      <w:r w:rsidR="00645DBD">
        <w:t xml:space="preserve">                </w:t>
      </w:r>
      <w:r>
        <w:t xml:space="preserve"> i z zastosowaniem wymaganych przez bank metod uwierzytelnienia zgodnie z umową BE. Użycie narzędzia autoryzacji następuje na stronie banku.</w:t>
      </w:r>
    </w:p>
    <w:p w:rsidR="009863EA" w:rsidRDefault="009863EA" w:rsidP="00645DBD">
      <w:pPr>
        <w:pStyle w:val="Akapitzlist"/>
        <w:numPr>
          <w:ilvl w:val="0"/>
          <w:numId w:val="3"/>
        </w:numPr>
        <w:jc w:val="both"/>
      </w:pPr>
      <w:r>
        <w:t>Użytkownik może skorzystać z usługi SGB ID po złożeniu następujących oświadczeń w bankowości internetowej.</w:t>
      </w:r>
    </w:p>
    <w:p w:rsidR="009863EA" w:rsidRDefault="009863EA" w:rsidP="00645DBD">
      <w:pPr>
        <w:pStyle w:val="Akapitzlist"/>
        <w:numPr>
          <w:ilvl w:val="0"/>
          <w:numId w:val="5"/>
        </w:numPr>
        <w:ind w:left="851" w:hanging="425"/>
        <w:jc w:val="both"/>
      </w:pPr>
      <w:r>
        <w:t>Oświadczenie  o zapoznaniu się z niniejszym regulaminem i przestrzeganiu jego postanowień;</w:t>
      </w:r>
    </w:p>
    <w:p w:rsidR="009863EA" w:rsidRDefault="00715A67" w:rsidP="00645DBD">
      <w:pPr>
        <w:pStyle w:val="Akapitzlist"/>
        <w:numPr>
          <w:ilvl w:val="0"/>
          <w:numId w:val="5"/>
        </w:numPr>
        <w:ind w:left="851" w:hanging="425"/>
        <w:jc w:val="both"/>
      </w:pPr>
      <w:r>
        <w:t>Oświadczenie potwierdzające, że dane użytkownika są aktualne,</w:t>
      </w:r>
    </w:p>
    <w:p w:rsidR="00715A67" w:rsidRDefault="00715A67" w:rsidP="00645DBD">
      <w:pPr>
        <w:pStyle w:val="Akapitzlist"/>
        <w:numPr>
          <w:ilvl w:val="0"/>
          <w:numId w:val="5"/>
        </w:numPr>
        <w:ind w:left="851" w:hanging="425"/>
        <w:jc w:val="both"/>
      </w:pPr>
      <w:r>
        <w:t>Oświadczenie wyrażające zgodę na wydanie ŚIE</w:t>
      </w:r>
    </w:p>
    <w:p w:rsidR="00715A67" w:rsidRDefault="00715A67" w:rsidP="00645DBD">
      <w:pPr>
        <w:pStyle w:val="Akapitzlist"/>
        <w:numPr>
          <w:ilvl w:val="0"/>
          <w:numId w:val="5"/>
        </w:numPr>
        <w:ind w:left="851" w:hanging="425"/>
        <w:jc w:val="both"/>
      </w:pPr>
      <w:r>
        <w:t>Oświadczenie wyrażające zgodę na uwolnienie danych ze ŚIE lub przekazanie danych spoza tego środka lub oświadczenie woli zawierające autoryzację w postaci potwierdzenia określonego oświadczenia,</w:t>
      </w:r>
    </w:p>
    <w:p w:rsidR="00715A67" w:rsidRDefault="00715A67" w:rsidP="00645DBD">
      <w:pPr>
        <w:pStyle w:val="Akapitzlist"/>
        <w:numPr>
          <w:ilvl w:val="0"/>
          <w:numId w:val="5"/>
        </w:numPr>
        <w:ind w:left="851" w:hanging="425"/>
        <w:jc w:val="both"/>
      </w:pPr>
      <w:r>
        <w:t>Oświadczenie wyrażające zgodę na przekazanie danych objętych tajemnicą bankową (opcjonalnie).</w:t>
      </w:r>
    </w:p>
    <w:p w:rsidR="00715A67" w:rsidRDefault="00715A67" w:rsidP="00645DBD">
      <w:pPr>
        <w:pStyle w:val="Akapitzlist"/>
        <w:numPr>
          <w:ilvl w:val="0"/>
          <w:numId w:val="3"/>
        </w:numPr>
        <w:jc w:val="both"/>
      </w:pPr>
      <w:r>
        <w:t>Użytkownik zobowiązuje się:</w:t>
      </w:r>
    </w:p>
    <w:p w:rsidR="00715A67" w:rsidRDefault="00715A67" w:rsidP="00645DBD">
      <w:pPr>
        <w:pStyle w:val="Akapitzlist"/>
        <w:numPr>
          <w:ilvl w:val="0"/>
          <w:numId w:val="18"/>
        </w:numPr>
        <w:jc w:val="both"/>
      </w:pPr>
      <w:r>
        <w:t>nie udostępniać możliwości korzystania z usługi SGB ID osobom trzecim;</w:t>
      </w:r>
    </w:p>
    <w:p w:rsidR="00715A67" w:rsidRDefault="00715A67" w:rsidP="00645DBD">
      <w:pPr>
        <w:pStyle w:val="Akapitzlist"/>
        <w:numPr>
          <w:ilvl w:val="0"/>
          <w:numId w:val="18"/>
        </w:numPr>
        <w:jc w:val="both"/>
      </w:pPr>
      <w:r>
        <w:t xml:space="preserve"> </w:t>
      </w:r>
      <w:r w:rsidR="001E47D9">
        <w:t xml:space="preserve">niezwłocznie zgłaszać bankowi utratę, kradzież przywłaszczenie możliwości korzystania z usługi </w:t>
      </w:r>
      <w:r w:rsidR="00BF4AF1">
        <w:t xml:space="preserve">SGB ID, a w szczególności z ŚIE lub utratę wyłącznej kontroli nad danymi umożliwiającymi identyfikację w ramach usługi SGB ID , w tym ŚIE albo stwierdzenie nieuprawnionego </w:t>
      </w:r>
      <w:r w:rsidR="00480585">
        <w:t>korzystania z usługi SGB ID , w t</w:t>
      </w:r>
      <w:r w:rsidR="00BF4AF1">
        <w:t>ym użycie ŚIE;</w:t>
      </w:r>
    </w:p>
    <w:p w:rsidR="00BF4AF1" w:rsidRDefault="00BF4AF1" w:rsidP="00645DBD">
      <w:pPr>
        <w:pStyle w:val="Akapitzlist"/>
        <w:numPr>
          <w:ilvl w:val="0"/>
          <w:numId w:val="18"/>
        </w:numPr>
        <w:jc w:val="both"/>
      </w:pPr>
      <w:r>
        <w:t xml:space="preserve"> podejmow</w:t>
      </w:r>
      <w:r w:rsidR="00645DBD">
        <w:t>a</w:t>
      </w:r>
      <w:r>
        <w:t xml:space="preserve">ć wszelkie niezbędne </w:t>
      </w:r>
      <w:r w:rsidR="00480585">
        <w:t>działania służące zapobieżeniu naruszenia indywidualnych zabezpieczeń usługi SGB ID , w tym ŚIE lub danych umożliwiających identyfikację przy użyciu tej usługi, e tym ŚIE;</w:t>
      </w:r>
    </w:p>
    <w:p w:rsidR="00480585" w:rsidRDefault="00480585" w:rsidP="00645DBD">
      <w:pPr>
        <w:pStyle w:val="Akapitzlist"/>
        <w:numPr>
          <w:ilvl w:val="0"/>
          <w:numId w:val="18"/>
        </w:numPr>
        <w:jc w:val="both"/>
      </w:pPr>
      <w:r>
        <w:t xml:space="preserve"> przestrzegać postanowień niniejszego regulaminu oraz wykorzystywać usługę SGB ID zgodnie z prawem, jedynie w celu do którego jest przeznaczona;</w:t>
      </w:r>
    </w:p>
    <w:p w:rsidR="00480585" w:rsidRDefault="00480585" w:rsidP="00645DBD">
      <w:pPr>
        <w:pStyle w:val="Akapitzlist"/>
        <w:numPr>
          <w:ilvl w:val="0"/>
          <w:numId w:val="18"/>
        </w:numPr>
        <w:jc w:val="both"/>
      </w:pPr>
      <w:r>
        <w:t>aktualizować swoje dane wykorzystywane na potrzeby świadczenia usługi SGB ID zgodnie z postanowieniami Umowy BE.</w:t>
      </w:r>
    </w:p>
    <w:p w:rsidR="00480585" w:rsidRDefault="00480585" w:rsidP="00645DBD">
      <w:pPr>
        <w:pStyle w:val="Akapitzlist"/>
        <w:ind w:left="600"/>
        <w:jc w:val="both"/>
      </w:pPr>
    </w:p>
    <w:p w:rsidR="00480585" w:rsidRDefault="00480585" w:rsidP="00645DBD">
      <w:pPr>
        <w:pStyle w:val="Akapitzlist"/>
        <w:numPr>
          <w:ilvl w:val="0"/>
          <w:numId w:val="3"/>
        </w:numPr>
        <w:jc w:val="both"/>
      </w:pPr>
      <w:r>
        <w:t>W przypadku korzystania przez użytkownika z usługi SGB ID niezgodnie z niniejszym regulaminem lub przepisami powszechnie obowiązującego prawa, bank ma prawo zawiesić możliwość korzystania przez użytkownika z usługi SGB ID poprzez zablokowanie dostępu do bankowości internetowej. Po ustaniu przyczyny zawieszenia korzystania z usługi SGB ID, bank może uchylić blokadę dostępu do bankowości internetowej.</w:t>
      </w:r>
    </w:p>
    <w:p w:rsidR="00480585" w:rsidRDefault="00480585" w:rsidP="00645DBD">
      <w:pPr>
        <w:pStyle w:val="Akapitzlist"/>
        <w:numPr>
          <w:ilvl w:val="0"/>
          <w:numId w:val="3"/>
        </w:numPr>
        <w:jc w:val="both"/>
      </w:pPr>
      <w:r>
        <w:t>Bank nie ma możliwości cofnięcia, wymiany, unieważnienia lub wznowienie ŚIE z</w:t>
      </w:r>
      <w:r w:rsidR="00645DBD">
        <w:t>e</w:t>
      </w:r>
      <w:r>
        <w:t xml:space="preserve"> względu na to, że wydanie ŚIE jest jednorazowe.</w:t>
      </w:r>
    </w:p>
    <w:p w:rsidR="00645DBD" w:rsidRDefault="00645DBD" w:rsidP="00645DBD"/>
    <w:p w:rsidR="00342788" w:rsidRDefault="00342788" w:rsidP="00645DBD"/>
    <w:p w:rsidR="00342788" w:rsidRDefault="00342788" w:rsidP="00645DBD"/>
    <w:p w:rsidR="00480585" w:rsidRPr="000C161C" w:rsidRDefault="00480585" w:rsidP="00645DBD">
      <w:pPr>
        <w:jc w:val="center"/>
        <w:rPr>
          <w:b/>
          <w:color w:val="538135" w:themeColor="accent6" w:themeShade="BF"/>
        </w:rPr>
      </w:pPr>
      <w:r w:rsidRPr="000C161C">
        <w:rPr>
          <w:b/>
          <w:color w:val="538135" w:themeColor="accent6" w:themeShade="BF"/>
        </w:rPr>
        <w:t>Reklamacje</w:t>
      </w:r>
    </w:p>
    <w:p w:rsidR="00480585" w:rsidRDefault="00480585" w:rsidP="00645DBD">
      <w:pPr>
        <w:jc w:val="center"/>
      </w:pPr>
      <w:r>
        <w:t>§ 4</w:t>
      </w:r>
    </w:p>
    <w:p w:rsidR="00480585" w:rsidRDefault="00480585" w:rsidP="00645DBD">
      <w:pPr>
        <w:pStyle w:val="Akapitzlist"/>
        <w:numPr>
          <w:ilvl w:val="0"/>
          <w:numId w:val="6"/>
        </w:numPr>
        <w:ind w:left="284" w:hanging="284"/>
        <w:jc w:val="both"/>
      </w:pPr>
      <w:r>
        <w:t>Uż</w:t>
      </w:r>
      <w:r w:rsidR="00D52378">
        <w:t>ytkownik ma prawo do skła</w:t>
      </w:r>
      <w:r>
        <w:t>dania reklamacji w</w:t>
      </w:r>
      <w:r w:rsidR="00D52378">
        <w:t xml:space="preserve"> </w:t>
      </w:r>
      <w:r>
        <w:t>z</w:t>
      </w:r>
      <w:r w:rsidR="00D52378">
        <w:t>akresie usług świadczonych przez bank.</w:t>
      </w:r>
    </w:p>
    <w:p w:rsidR="00D52378" w:rsidRDefault="00D52378" w:rsidP="00645DBD">
      <w:pPr>
        <w:pStyle w:val="Akapitzlist"/>
        <w:numPr>
          <w:ilvl w:val="0"/>
          <w:numId w:val="6"/>
        </w:numPr>
        <w:jc w:val="both"/>
      </w:pPr>
      <w:r>
        <w:t>Reklamacja może być złożona:</w:t>
      </w:r>
    </w:p>
    <w:p w:rsidR="00D52378" w:rsidRDefault="00645DBD" w:rsidP="00645DBD">
      <w:pPr>
        <w:pStyle w:val="Akapitzlist"/>
        <w:numPr>
          <w:ilvl w:val="0"/>
          <w:numId w:val="8"/>
        </w:numPr>
        <w:ind w:left="567" w:hanging="283"/>
        <w:jc w:val="both"/>
      </w:pPr>
      <w:r>
        <w:t>u</w:t>
      </w:r>
      <w:r w:rsidR="00D52378">
        <w:t>stnej do protokołu;</w:t>
      </w:r>
    </w:p>
    <w:p w:rsidR="00D52378" w:rsidRDefault="00645DBD" w:rsidP="00645DBD">
      <w:pPr>
        <w:pStyle w:val="Akapitzlist"/>
        <w:numPr>
          <w:ilvl w:val="0"/>
          <w:numId w:val="8"/>
        </w:numPr>
        <w:ind w:left="567" w:hanging="283"/>
        <w:jc w:val="both"/>
      </w:pPr>
      <w:r>
        <w:t>t</w:t>
      </w:r>
      <w:r w:rsidR="00D52378">
        <w:t>elefonicznie w formie ustnej za pośrednictwem call center, którego numer podany jest w aplikacji i na stronie internetowej banku;</w:t>
      </w:r>
    </w:p>
    <w:p w:rsidR="00D52378" w:rsidRDefault="00645DBD" w:rsidP="00645DBD">
      <w:pPr>
        <w:pStyle w:val="Akapitzlist"/>
        <w:numPr>
          <w:ilvl w:val="0"/>
          <w:numId w:val="8"/>
        </w:numPr>
        <w:ind w:left="567" w:hanging="283"/>
        <w:jc w:val="both"/>
      </w:pPr>
      <w:r>
        <w:t>l</w:t>
      </w:r>
      <w:r w:rsidR="00D52378">
        <w:t>istownie w formie pisemnej na adres siedziby banku lub dowolnej placówki banku;</w:t>
      </w:r>
    </w:p>
    <w:p w:rsidR="00D52378" w:rsidRDefault="00645DBD" w:rsidP="00645DBD">
      <w:pPr>
        <w:pStyle w:val="Akapitzlist"/>
        <w:numPr>
          <w:ilvl w:val="0"/>
          <w:numId w:val="8"/>
        </w:numPr>
        <w:ind w:left="567" w:hanging="283"/>
        <w:jc w:val="both"/>
      </w:pPr>
      <w:r>
        <w:t>z</w:t>
      </w:r>
      <w:r w:rsidR="00D52378">
        <w:t xml:space="preserve"> wykorzystaniem środków komunikacji elektronicznej wysyłając e-mail na adres podany na stronie internetowej banku;</w:t>
      </w:r>
    </w:p>
    <w:p w:rsidR="00D52378" w:rsidRDefault="00D52378" w:rsidP="00645DBD">
      <w:pPr>
        <w:pStyle w:val="Akapitzlist"/>
        <w:numPr>
          <w:ilvl w:val="0"/>
          <w:numId w:val="6"/>
        </w:numPr>
        <w:jc w:val="both"/>
      </w:pPr>
      <w:r>
        <w:t>Adresy siedziby banku i placówek banku zamieszczone są na stronie internetowej banku.</w:t>
      </w:r>
    </w:p>
    <w:p w:rsidR="00D52378" w:rsidRDefault="00D52378" w:rsidP="00645DBD">
      <w:pPr>
        <w:pStyle w:val="Akapitzlist"/>
        <w:numPr>
          <w:ilvl w:val="0"/>
          <w:numId w:val="6"/>
        </w:numPr>
        <w:jc w:val="both"/>
      </w:pPr>
      <w:r>
        <w:t>Treść reklamacji złożonej w formie pisemnej powinna zawierać:</w:t>
      </w:r>
    </w:p>
    <w:p w:rsidR="00D52378" w:rsidRDefault="00D52378" w:rsidP="00645DBD">
      <w:pPr>
        <w:pStyle w:val="Akapitzlist"/>
        <w:numPr>
          <w:ilvl w:val="0"/>
          <w:numId w:val="9"/>
        </w:numPr>
        <w:ind w:left="567" w:hanging="283"/>
        <w:jc w:val="both"/>
      </w:pPr>
      <w:r>
        <w:t>Imię i nazwisko użytkownika;</w:t>
      </w:r>
    </w:p>
    <w:p w:rsidR="00D52378" w:rsidRDefault="00D52378" w:rsidP="00645DBD">
      <w:pPr>
        <w:pStyle w:val="Akapitzlist"/>
        <w:numPr>
          <w:ilvl w:val="0"/>
          <w:numId w:val="9"/>
        </w:numPr>
        <w:ind w:left="567" w:hanging="283"/>
        <w:jc w:val="both"/>
      </w:pPr>
      <w:r>
        <w:t>Adres korespondencyjny</w:t>
      </w:r>
    </w:p>
    <w:p w:rsidR="00D52378" w:rsidRDefault="00D52378" w:rsidP="00645DBD">
      <w:pPr>
        <w:pStyle w:val="Akapitzlist"/>
        <w:numPr>
          <w:ilvl w:val="0"/>
          <w:numId w:val="9"/>
        </w:numPr>
        <w:ind w:left="567" w:hanging="283"/>
        <w:jc w:val="both"/>
      </w:pPr>
      <w:r>
        <w:t>Dokładny opis zdarzenia lub przedmiotu zastrzeżeń użytkownika;</w:t>
      </w:r>
    </w:p>
    <w:p w:rsidR="00D52378" w:rsidRDefault="00D52378" w:rsidP="00645DBD">
      <w:pPr>
        <w:pStyle w:val="Akapitzlist"/>
        <w:numPr>
          <w:ilvl w:val="0"/>
          <w:numId w:val="9"/>
        </w:numPr>
        <w:ind w:left="567" w:hanging="283"/>
        <w:jc w:val="both"/>
      </w:pPr>
      <w:r>
        <w:t>Oczekiwany przez użytkownika stan po rozpatrzeniu zastrzeżeń;</w:t>
      </w:r>
    </w:p>
    <w:p w:rsidR="00D52378" w:rsidRDefault="00D52378" w:rsidP="00645DBD">
      <w:pPr>
        <w:pStyle w:val="Akapitzlist"/>
        <w:numPr>
          <w:ilvl w:val="0"/>
          <w:numId w:val="9"/>
        </w:numPr>
        <w:ind w:left="567" w:hanging="283"/>
        <w:jc w:val="both"/>
      </w:pPr>
      <w:r>
        <w:t>własnoręczny podpis użytkownika</w:t>
      </w:r>
    </w:p>
    <w:p w:rsidR="006E5AD4" w:rsidRDefault="00D52378" w:rsidP="00645DBD">
      <w:pPr>
        <w:pStyle w:val="Akapitzlist"/>
        <w:numPr>
          <w:ilvl w:val="0"/>
          <w:numId w:val="6"/>
        </w:numPr>
        <w:jc w:val="both"/>
      </w:pPr>
      <w:r>
        <w:t xml:space="preserve">W przypadku </w:t>
      </w:r>
      <w:r w:rsidR="00276502">
        <w:t xml:space="preserve">stwierdzenia przez bank braku informacji wymaganych do rozpatrzenia reklamacji, bank zwraca się do użytkownika </w:t>
      </w:r>
      <w:r w:rsidR="006E5AD4">
        <w:t>o ich uzupełnienie w formie, w jakiej złożył on reklamacje;</w:t>
      </w:r>
    </w:p>
    <w:p w:rsidR="006E5AD4" w:rsidRDefault="006E5AD4" w:rsidP="00645DBD">
      <w:pPr>
        <w:pStyle w:val="Akapitzlist"/>
        <w:numPr>
          <w:ilvl w:val="0"/>
          <w:numId w:val="6"/>
        </w:numPr>
        <w:jc w:val="both"/>
      </w:pPr>
      <w:r>
        <w:t>Bank odpowiada na reklamację bez zbędnej zwłoki nie później  niż w terminie 15 dni roboczych od dnia otrzymania reklamacji;</w:t>
      </w:r>
    </w:p>
    <w:p w:rsidR="006E5AD4" w:rsidRDefault="00A547C2" w:rsidP="00645DBD">
      <w:pPr>
        <w:pStyle w:val="Akapitzlist"/>
        <w:numPr>
          <w:ilvl w:val="0"/>
          <w:numId w:val="6"/>
        </w:numPr>
        <w:jc w:val="both"/>
      </w:pPr>
      <w:r>
        <w:t xml:space="preserve"> </w:t>
      </w:r>
      <w:r w:rsidR="006E5AD4">
        <w:t>W szczególności w skomplikowanych przypadkach umożliwiających rozpatrzenie reklamacji i udzielenie odpowiedzi w terminie, o którym mowa w ust. 6, termin udzielenia odpowiedzi na reklamację może uleć wydłużenia do 35 dni roboczych; za szczególnie skomplikowanie przypadki uznaje się reklamacje wymagające wyjaśnienia dyspozycji z dostawcami usługi płatniczych;</w:t>
      </w:r>
    </w:p>
    <w:p w:rsidR="006E5AD4" w:rsidRDefault="006E5AD4" w:rsidP="00645DBD">
      <w:pPr>
        <w:pStyle w:val="Akapitzlist"/>
        <w:numPr>
          <w:ilvl w:val="0"/>
          <w:numId w:val="6"/>
        </w:numPr>
        <w:jc w:val="both"/>
      </w:pPr>
      <w:r>
        <w:t>W przypadku braku możliwości udzielenia odpowiedzi na złożoną reklamację w terminie określonym w ust. 6, w formie pisemnej 14 dni od dnia otrzymania reklamacji:</w:t>
      </w:r>
    </w:p>
    <w:p w:rsidR="006E5AD4" w:rsidRDefault="00993959" w:rsidP="00645DBD">
      <w:pPr>
        <w:pStyle w:val="Akapitzlist"/>
        <w:numPr>
          <w:ilvl w:val="0"/>
          <w:numId w:val="10"/>
        </w:numPr>
        <w:jc w:val="both"/>
      </w:pPr>
      <w:r>
        <w:t>w</w:t>
      </w:r>
      <w:r w:rsidR="006E5AD4">
        <w:t>yjaśnia przyczynę opóźnienia ;</w:t>
      </w:r>
    </w:p>
    <w:p w:rsidR="006E5AD4" w:rsidRDefault="00A547C2" w:rsidP="00645DBD">
      <w:pPr>
        <w:pStyle w:val="Akapitzlist"/>
        <w:numPr>
          <w:ilvl w:val="0"/>
          <w:numId w:val="10"/>
        </w:numPr>
        <w:jc w:val="both"/>
      </w:pPr>
      <w:r>
        <w:t xml:space="preserve"> </w:t>
      </w:r>
      <w:r w:rsidR="00993959">
        <w:t>w</w:t>
      </w:r>
      <w:r w:rsidR="006E5AD4">
        <w:t>s</w:t>
      </w:r>
      <w:r w:rsidR="00993959">
        <w:t>k</w:t>
      </w:r>
      <w:r w:rsidR="006E5AD4">
        <w:t>azuje okoliczności, które muszą zostać ustalone w celu rozpatrzenia sprawy;</w:t>
      </w:r>
    </w:p>
    <w:p w:rsidR="00993959" w:rsidRDefault="00A547C2" w:rsidP="00645DBD">
      <w:pPr>
        <w:pStyle w:val="Akapitzlist"/>
        <w:numPr>
          <w:ilvl w:val="0"/>
          <w:numId w:val="10"/>
        </w:numPr>
        <w:jc w:val="both"/>
      </w:pPr>
      <w:r>
        <w:t xml:space="preserve"> </w:t>
      </w:r>
      <w:r w:rsidR="00993959">
        <w:t>Wskazuje przewidywany termin rozpatrzenia reklamacji i udzielenia odpowiedzi na złożoną reklamację, który nie może być dłuższy niż termin</w:t>
      </w:r>
      <w:r>
        <w:t xml:space="preserve"> </w:t>
      </w:r>
      <w:r w:rsidR="00993959">
        <w:t>wskazany w ust. 9.</w:t>
      </w:r>
    </w:p>
    <w:p w:rsidR="00993959" w:rsidRDefault="00993959" w:rsidP="00645DBD">
      <w:pPr>
        <w:pStyle w:val="Akapitzlist"/>
        <w:numPr>
          <w:ilvl w:val="0"/>
          <w:numId w:val="6"/>
        </w:numPr>
        <w:jc w:val="both"/>
      </w:pPr>
      <w:r>
        <w:t>Do zachowania terminów, o których mowa w ust. 6 i 7 , wystarczające jest wysłanie odpowiedzi przed ich upływem, a w przypadku odpowiedzi udzielonych na piśmie- nadanie w placówce pocztowej operatora wyznaczonego w rozumieniu art. 3 pkt. 13 ustawy z dnia 23 listopada 2012 r. Prawo pocztowe.</w:t>
      </w:r>
    </w:p>
    <w:p w:rsidR="00993959" w:rsidRDefault="00993959" w:rsidP="00645DBD">
      <w:pPr>
        <w:pStyle w:val="Akapitzlist"/>
        <w:numPr>
          <w:ilvl w:val="0"/>
          <w:numId w:val="6"/>
        </w:numPr>
        <w:jc w:val="both"/>
      </w:pPr>
      <w:r>
        <w:t>Udzielając odpowiedzi na reklamację, bank bierze pod uwagę stan faktyczny istniejący w ostatnim dniu terminu na udzielenie odpowiedzi na reklamacje – określonego w ust. 8, a w szczególnie skomplikowanych przypadkach w ust. 7 – chyba że informacje i ewentualne dokumenty, jakimi dysponuje bank, umożliwiają udzielenie odpowiedzi wcześniej.</w:t>
      </w:r>
    </w:p>
    <w:p w:rsidR="00993959" w:rsidRDefault="00993959" w:rsidP="00645DBD">
      <w:pPr>
        <w:pStyle w:val="Akapitzlist"/>
        <w:numPr>
          <w:ilvl w:val="0"/>
          <w:numId w:val="6"/>
        </w:numPr>
        <w:jc w:val="both"/>
      </w:pPr>
      <w:r>
        <w:t>W przypadku gdy zmianie ulegnie stan faktyczny, w oparciu o który bank udzielił odpowiedzi na reklamację, bank ponownie rozpoznaje reklamację biorąc pod uwagę zmieniony stan faktyczny, o ile zmiany nastąpiły na korzyść klienta.</w:t>
      </w:r>
    </w:p>
    <w:p w:rsidR="00993959" w:rsidRDefault="00993959" w:rsidP="00645DBD">
      <w:pPr>
        <w:pStyle w:val="Akapitzlist"/>
        <w:numPr>
          <w:ilvl w:val="0"/>
          <w:numId w:val="6"/>
        </w:numPr>
        <w:jc w:val="both"/>
      </w:pPr>
      <w:r>
        <w:t>Odpowiedź udzielania jest w formie pisemnej i wysłana:</w:t>
      </w:r>
    </w:p>
    <w:p w:rsidR="00FC2DF6" w:rsidRDefault="00FC2DF6" w:rsidP="00645DBD">
      <w:pPr>
        <w:pStyle w:val="Akapitzlist"/>
        <w:numPr>
          <w:ilvl w:val="0"/>
          <w:numId w:val="11"/>
        </w:numPr>
        <w:jc w:val="both"/>
      </w:pPr>
      <w:r>
        <w:t xml:space="preserve">listem poleconym na adres wskazany w reklamacji przez użytkownika, </w:t>
      </w:r>
      <w:r w:rsidR="00645DBD">
        <w:t xml:space="preserve">                               </w:t>
      </w:r>
      <w:r>
        <w:t>z zastrzeżeniem pkt 2;</w:t>
      </w:r>
    </w:p>
    <w:p w:rsidR="00FC2DF6" w:rsidRDefault="00FC2DF6" w:rsidP="00645DBD">
      <w:pPr>
        <w:pStyle w:val="Akapitzlist"/>
        <w:numPr>
          <w:ilvl w:val="0"/>
          <w:numId w:val="11"/>
        </w:numPr>
        <w:jc w:val="both"/>
      </w:pPr>
      <w:r>
        <w:t>na innym trwałym nośniku po uzgodnieniu i na wniosek użytkownika, w tym z wykorzystaniem środków komunikacji elektronicznej na adres e-mail, z którego reklamacja została wysłana, chyba że użytkownik poda w reklamacji inny  adres e-mail, poprzez załącznik skanu odpowiedzi.</w:t>
      </w:r>
    </w:p>
    <w:p w:rsidR="00FC2DF6" w:rsidRDefault="00FC2DF6" w:rsidP="00FC2DF6">
      <w:pPr>
        <w:pStyle w:val="Akapitzlist"/>
      </w:pPr>
      <w:r>
        <w:t xml:space="preserve">                                                       </w:t>
      </w:r>
    </w:p>
    <w:p w:rsidR="00FC2DF6" w:rsidRDefault="00FC2DF6" w:rsidP="00FC2DF6">
      <w:pPr>
        <w:pStyle w:val="Akapitzlist"/>
      </w:pPr>
    </w:p>
    <w:p w:rsidR="00FC2DF6" w:rsidRDefault="00FC2DF6" w:rsidP="00645DBD">
      <w:pPr>
        <w:pStyle w:val="Akapitzlist"/>
        <w:ind w:left="0"/>
        <w:jc w:val="center"/>
      </w:pPr>
      <w:r>
        <w:t>§ 5</w:t>
      </w:r>
    </w:p>
    <w:p w:rsidR="00FC2DF6" w:rsidRDefault="00FC2DF6" w:rsidP="00FC2DF6">
      <w:pPr>
        <w:pStyle w:val="Akapitzlist"/>
      </w:pPr>
    </w:p>
    <w:p w:rsidR="00FC2DF6" w:rsidRDefault="00FC2DF6" w:rsidP="00645DBD">
      <w:pPr>
        <w:pStyle w:val="Akapitzlist"/>
        <w:numPr>
          <w:ilvl w:val="0"/>
          <w:numId w:val="12"/>
        </w:numPr>
        <w:ind w:left="284" w:hanging="284"/>
        <w:jc w:val="both"/>
      </w:pPr>
      <w:r>
        <w:t>Użytkownik może składać do banku skargi – oświadczenia nie będące reklamacjami w zakresie dotyczących usług świadczonych przez bank lub wykonywanej przez bank działalności.</w:t>
      </w:r>
    </w:p>
    <w:p w:rsidR="00FC2DF6" w:rsidRDefault="00FC2DF6" w:rsidP="00645DBD">
      <w:pPr>
        <w:pStyle w:val="Akapitzlist"/>
        <w:numPr>
          <w:ilvl w:val="0"/>
          <w:numId w:val="12"/>
        </w:numPr>
        <w:ind w:left="284" w:hanging="284"/>
        <w:jc w:val="both"/>
      </w:pPr>
      <w:r>
        <w:t>Użytkownik może składać do banku wnioski w zakresie dotyczącym poprawy funkcjonowania banku, l</w:t>
      </w:r>
      <w:r w:rsidR="001121BF">
        <w:t>epszego zaspokojenia potrzeb klie</w:t>
      </w:r>
      <w:r>
        <w:t>ntów banku, usprawnienia pracy lub poszerzenia oferty.</w:t>
      </w:r>
    </w:p>
    <w:p w:rsidR="00FC2DF6" w:rsidRDefault="00FC2DF6" w:rsidP="00EC76B8">
      <w:pPr>
        <w:pStyle w:val="Akapitzlist"/>
        <w:numPr>
          <w:ilvl w:val="0"/>
          <w:numId w:val="12"/>
        </w:numPr>
        <w:ind w:left="284" w:hanging="284"/>
        <w:jc w:val="both"/>
      </w:pPr>
      <w:r>
        <w:t>Do skargi i wniosków stosuje się odpowiednio postanowienia niniejszego rozdziału za wyjątkiem par.6 ust.3 pkt.4 i ust.4 pkt.1 ( w zakresie w jakim dotyczą Rzecznika Finansowego).</w:t>
      </w:r>
    </w:p>
    <w:p w:rsidR="00EC76B8" w:rsidRDefault="00EC76B8" w:rsidP="00EC76B8">
      <w:pPr>
        <w:pStyle w:val="Akapitzlist"/>
        <w:ind w:left="284"/>
        <w:jc w:val="both"/>
      </w:pPr>
    </w:p>
    <w:p w:rsidR="00FC2DF6" w:rsidRDefault="00FC2DF6" w:rsidP="00645DBD">
      <w:pPr>
        <w:pStyle w:val="Akapitzlist"/>
        <w:ind w:left="0"/>
        <w:jc w:val="center"/>
      </w:pPr>
      <w:r>
        <w:t>§ 6</w:t>
      </w:r>
    </w:p>
    <w:p w:rsidR="00FC2DF6" w:rsidRDefault="00FC2DF6" w:rsidP="00FC2DF6">
      <w:pPr>
        <w:pStyle w:val="Akapitzlist"/>
        <w:ind w:left="1080"/>
      </w:pPr>
    </w:p>
    <w:p w:rsidR="00FC2DF6" w:rsidRDefault="00FC2DF6" w:rsidP="00EC76B8">
      <w:pPr>
        <w:pStyle w:val="Akapitzlist"/>
        <w:numPr>
          <w:ilvl w:val="0"/>
          <w:numId w:val="13"/>
        </w:numPr>
        <w:ind w:left="284" w:hanging="284"/>
        <w:jc w:val="both"/>
      </w:pPr>
      <w:r>
        <w:t>Bank jest podmiotem podlegającym Komisji Nadzoru Finansowego.</w:t>
      </w:r>
    </w:p>
    <w:p w:rsidR="00FC2DF6" w:rsidRDefault="00FC2DF6" w:rsidP="00EC76B8">
      <w:pPr>
        <w:pStyle w:val="Akapitzlist"/>
        <w:numPr>
          <w:ilvl w:val="0"/>
          <w:numId w:val="13"/>
        </w:numPr>
        <w:ind w:left="284" w:hanging="284"/>
        <w:jc w:val="both"/>
      </w:pPr>
      <w:r>
        <w:t>W przypadku sporu z bankiem użytkownik może zwrócić się o pomoc do Miejskiego lub powiatowego Rzecznika Konsumenta.</w:t>
      </w:r>
    </w:p>
    <w:p w:rsidR="001121BF" w:rsidRDefault="00FC2DF6" w:rsidP="00EC76B8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Od stanowiska  zawartego w odpowiedzi na reklamację </w:t>
      </w:r>
      <w:r w:rsidR="00A547C2">
        <w:t xml:space="preserve"> </w:t>
      </w:r>
      <w:r w:rsidR="001121BF">
        <w:t>użytkownika może:</w:t>
      </w:r>
    </w:p>
    <w:p w:rsidR="001121BF" w:rsidRDefault="001121BF" w:rsidP="00EC76B8">
      <w:pPr>
        <w:pStyle w:val="Akapitzlist"/>
        <w:numPr>
          <w:ilvl w:val="0"/>
          <w:numId w:val="14"/>
        </w:numPr>
        <w:ind w:left="709" w:hanging="425"/>
        <w:jc w:val="both"/>
      </w:pPr>
      <w:r>
        <w:t xml:space="preserve">Odwołać się do wyższych szczebli decyzyjnych banku, w tym do Rady Nadzorczej </w:t>
      </w:r>
      <w:r w:rsidR="00EC76B8">
        <w:t xml:space="preserve">   </w:t>
      </w:r>
      <w:r>
        <w:t>Banku;</w:t>
      </w:r>
    </w:p>
    <w:p w:rsidR="001121BF" w:rsidRDefault="001121BF" w:rsidP="00EC76B8">
      <w:pPr>
        <w:pStyle w:val="Akapitzlist"/>
        <w:numPr>
          <w:ilvl w:val="0"/>
          <w:numId w:val="14"/>
        </w:numPr>
        <w:ind w:left="284" w:firstLine="0"/>
        <w:jc w:val="both"/>
      </w:pPr>
      <w:r>
        <w:t>Złożyć zapis na Sąd Polubowny przy Komisji Nadzoru Finansowego;</w:t>
      </w:r>
    </w:p>
    <w:p w:rsidR="001121BF" w:rsidRDefault="001121BF" w:rsidP="00EC76B8">
      <w:pPr>
        <w:pStyle w:val="Akapitzlist"/>
        <w:numPr>
          <w:ilvl w:val="0"/>
          <w:numId w:val="14"/>
        </w:numPr>
        <w:ind w:left="284" w:firstLine="0"/>
        <w:jc w:val="both"/>
      </w:pPr>
      <w:r>
        <w:t>Skorzystać z instytucji Arbitra Bankowego przy Związku Banków Polskich</w:t>
      </w:r>
    </w:p>
    <w:p w:rsidR="001121BF" w:rsidRDefault="001121BF" w:rsidP="00EC76B8">
      <w:pPr>
        <w:pStyle w:val="Akapitzlist"/>
        <w:numPr>
          <w:ilvl w:val="0"/>
          <w:numId w:val="14"/>
        </w:numPr>
        <w:ind w:left="284" w:firstLine="0"/>
        <w:jc w:val="both"/>
      </w:pPr>
      <w:r>
        <w:t>Złożyć wniosek do Rzecznika Finansowego w sprawie rozwiązania sporu;</w:t>
      </w:r>
    </w:p>
    <w:p w:rsidR="001121BF" w:rsidRDefault="001121BF" w:rsidP="00EC76B8">
      <w:pPr>
        <w:pStyle w:val="Akapitzlist"/>
        <w:numPr>
          <w:ilvl w:val="0"/>
          <w:numId w:val="14"/>
        </w:numPr>
        <w:ind w:left="284" w:firstLine="0"/>
        <w:jc w:val="both"/>
      </w:pPr>
      <w:r>
        <w:t>Skierować sprawę do sądu powszechnego</w:t>
      </w:r>
    </w:p>
    <w:p w:rsidR="000C161C" w:rsidRDefault="001121BF" w:rsidP="00EC76B8">
      <w:pPr>
        <w:pStyle w:val="Akapitzlist"/>
        <w:numPr>
          <w:ilvl w:val="0"/>
          <w:numId w:val="13"/>
        </w:numPr>
        <w:ind w:left="284" w:hanging="284"/>
        <w:jc w:val="both"/>
      </w:pPr>
      <w:r>
        <w:t>Podmiotami uprawnionymi do prowadzenia postępowania w sprawie  pozasądowego rozwiązania sporów konsumenckich w rozumieniu ustawy z dnia 23 września 2016 r</w:t>
      </w:r>
      <w:r w:rsidR="000C161C">
        <w:t xml:space="preserve">. </w:t>
      </w:r>
      <w:r w:rsidR="00EC76B8">
        <w:t xml:space="preserve">                     </w:t>
      </w:r>
      <w:r w:rsidR="000C161C">
        <w:t>o pozasądowym rozwiązaniu sporów konsumenckich są :</w:t>
      </w:r>
    </w:p>
    <w:p w:rsidR="000C161C" w:rsidRDefault="000C161C" w:rsidP="00EC76B8">
      <w:pPr>
        <w:pStyle w:val="Akapitzlist"/>
        <w:numPr>
          <w:ilvl w:val="0"/>
          <w:numId w:val="15"/>
        </w:numPr>
        <w:ind w:left="284" w:firstLine="0"/>
        <w:jc w:val="both"/>
      </w:pPr>
      <w:r>
        <w:t xml:space="preserve">Rzecznik Finansowy, adres strony internetowej: </w:t>
      </w:r>
      <w:hyperlink r:id="rId8" w:history="1">
        <w:r w:rsidRPr="000B7918">
          <w:rPr>
            <w:rStyle w:val="Hipercze"/>
          </w:rPr>
          <w:t>https://www.rf.gov.pl</w:t>
        </w:r>
      </w:hyperlink>
      <w:r>
        <w:t>;</w:t>
      </w:r>
    </w:p>
    <w:p w:rsidR="000C161C" w:rsidRDefault="000C161C" w:rsidP="00EC76B8">
      <w:pPr>
        <w:pStyle w:val="Akapitzlist"/>
        <w:numPr>
          <w:ilvl w:val="0"/>
          <w:numId w:val="15"/>
        </w:numPr>
        <w:ind w:left="709" w:hanging="425"/>
        <w:jc w:val="both"/>
      </w:pPr>
      <w:r>
        <w:t xml:space="preserve">Sąd Polubowny przy Komisji Nadzoru Finansowego , adres strony internetowej:  </w:t>
      </w:r>
      <w:hyperlink r:id="rId9" w:history="1">
        <w:r w:rsidRPr="000B7918">
          <w:rPr>
            <w:rStyle w:val="Hipercze"/>
          </w:rPr>
          <w:t>https://www.knf.gov.pl</w:t>
        </w:r>
      </w:hyperlink>
      <w:r>
        <w:t>;</w:t>
      </w:r>
    </w:p>
    <w:p w:rsidR="00EC76B8" w:rsidRPr="00342788" w:rsidRDefault="000C161C" w:rsidP="00EC76B8">
      <w:pPr>
        <w:pStyle w:val="Akapitzlist"/>
        <w:numPr>
          <w:ilvl w:val="0"/>
          <w:numId w:val="15"/>
        </w:numPr>
        <w:ind w:left="709" w:hanging="425"/>
        <w:jc w:val="both"/>
        <w:rPr>
          <w:rStyle w:val="Hipercze"/>
          <w:color w:val="auto"/>
          <w:u w:val="none"/>
        </w:rPr>
      </w:pPr>
      <w:r>
        <w:t xml:space="preserve">Bankowy Arbitraż Konsumencki przy Związku Banków Polskich, adres strony internetowej: </w:t>
      </w:r>
      <w:hyperlink r:id="rId10" w:history="1">
        <w:r w:rsidRPr="000B7918">
          <w:rPr>
            <w:rStyle w:val="Hipercze"/>
          </w:rPr>
          <w:t>https://www.zbp.pl</w:t>
        </w:r>
      </w:hyperlink>
    </w:p>
    <w:p w:rsidR="00342788" w:rsidRDefault="00342788" w:rsidP="00342788">
      <w:pPr>
        <w:jc w:val="both"/>
      </w:pPr>
    </w:p>
    <w:p w:rsidR="00342788" w:rsidRDefault="00342788" w:rsidP="00342788">
      <w:pPr>
        <w:jc w:val="both"/>
      </w:pPr>
    </w:p>
    <w:p w:rsidR="00342788" w:rsidRDefault="00342788" w:rsidP="00342788">
      <w:pPr>
        <w:jc w:val="both"/>
      </w:pPr>
    </w:p>
    <w:p w:rsidR="00342788" w:rsidRDefault="00342788" w:rsidP="00342788">
      <w:pPr>
        <w:jc w:val="both"/>
      </w:pPr>
    </w:p>
    <w:p w:rsidR="000C161C" w:rsidRDefault="000C161C" w:rsidP="00EC76B8">
      <w:pPr>
        <w:pStyle w:val="Akapitzlist"/>
        <w:ind w:left="0"/>
        <w:jc w:val="center"/>
      </w:pPr>
      <w:r w:rsidRPr="000C161C">
        <w:rPr>
          <w:b/>
          <w:color w:val="538135" w:themeColor="accent6" w:themeShade="BF"/>
        </w:rPr>
        <w:t>Przetwarzanie danych osobowych</w:t>
      </w:r>
    </w:p>
    <w:p w:rsidR="00A547C2" w:rsidRPr="000C161C" w:rsidRDefault="000C161C" w:rsidP="000C161C">
      <w:pPr>
        <w:pStyle w:val="Akapitzlist"/>
        <w:ind w:left="1353"/>
      </w:pPr>
      <w:r>
        <w:t xml:space="preserve">                                                   </w:t>
      </w:r>
      <w:r w:rsidR="00A547C2" w:rsidRPr="000C161C">
        <w:t xml:space="preserve">             </w:t>
      </w:r>
    </w:p>
    <w:p w:rsidR="00EC76B8" w:rsidRDefault="000C161C" w:rsidP="00EC76B8">
      <w:pPr>
        <w:jc w:val="center"/>
      </w:pPr>
      <w:r>
        <w:t>§ 7</w:t>
      </w:r>
    </w:p>
    <w:p w:rsidR="000C161C" w:rsidRDefault="000C161C" w:rsidP="00EC76B8">
      <w:pPr>
        <w:jc w:val="both"/>
      </w:pPr>
      <w:r>
        <w:t xml:space="preserve">Przetwarzanie danych osobowych użytkowników odbywa się zgodnie z obowiązującymi  przepisami prawa. Szczegółowe informacje o przetwarzaniu danych osobowych przez bank dostępne są na stronie internetowej banku. </w:t>
      </w:r>
      <w:r w:rsidRPr="00684C5B">
        <w:rPr>
          <w:b/>
          <w:color w:val="2E74B5" w:themeColor="accent1" w:themeShade="BF"/>
        </w:rPr>
        <w:t>www.bsdzierzgon.pl</w:t>
      </w:r>
    </w:p>
    <w:p w:rsidR="009673A1" w:rsidRPr="00684C5B" w:rsidRDefault="009673A1">
      <w:pPr>
        <w:rPr>
          <w:b/>
          <w:color w:val="538135" w:themeColor="accent6" w:themeShade="BF"/>
        </w:rPr>
      </w:pPr>
    </w:p>
    <w:p w:rsidR="009673A1" w:rsidRPr="00684C5B" w:rsidRDefault="00684C5B" w:rsidP="00EC76B8">
      <w:pPr>
        <w:jc w:val="center"/>
        <w:rPr>
          <w:b/>
          <w:color w:val="538135" w:themeColor="accent6" w:themeShade="BF"/>
        </w:rPr>
      </w:pPr>
      <w:r w:rsidRPr="00684C5B">
        <w:rPr>
          <w:b/>
          <w:color w:val="538135" w:themeColor="accent6" w:themeShade="BF"/>
        </w:rPr>
        <w:t>Postanowienie końcowe</w:t>
      </w:r>
    </w:p>
    <w:p w:rsidR="00684C5B" w:rsidRDefault="00684C5B" w:rsidP="00EC76B8">
      <w:pPr>
        <w:jc w:val="center"/>
      </w:pPr>
      <w:r>
        <w:t>§ 8</w:t>
      </w:r>
    </w:p>
    <w:p w:rsidR="00684C5B" w:rsidRDefault="00684C5B" w:rsidP="00EC76B8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W zakresie </w:t>
      </w:r>
      <w:r w:rsidR="008816CC">
        <w:t>nieuregulowanych w niniejszym regulaminie do usługi SGB ID mają zastosowanie odpowiednie postanowienia Umowy BE.</w:t>
      </w:r>
    </w:p>
    <w:p w:rsidR="008816CC" w:rsidRDefault="008816CC" w:rsidP="00EC76B8">
      <w:pPr>
        <w:pStyle w:val="Akapitzlist"/>
        <w:numPr>
          <w:ilvl w:val="0"/>
          <w:numId w:val="16"/>
        </w:numPr>
        <w:ind w:left="284" w:hanging="284"/>
        <w:jc w:val="both"/>
      </w:pPr>
      <w:r>
        <w:t>Bank udostępnia obowiązującą treść regulaminu w placówkach banku, na stronie internetowej banku oraz w bankowości internetowej.</w:t>
      </w:r>
    </w:p>
    <w:p w:rsidR="008816CC" w:rsidRDefault="008816CC" w:rsidP="00EC76B8">
      <w:pPr>
        <w:pStyle w:val="Akapitzlist"/>
        <w:numPr>
          <w:ilvl w:val="0"/>
          <w:numId w:val="16"/>
        </w:numPr>
        <w:ind w:left="284" w:hanging="284"/>
        <w:jc w:val="both"/>
      </w:pPr>
      <w:r>
        <w:t>Bank udostępnia na stronie internetowej banku Przewodnik dla klienta, który stanowi instrukcję z usługi SGB ID w bankowości internetowej.</w:t>
      </w:r>
    </w:p>
    <w:p w:rsidR="008816CC" w:rsidRDefault="008816CC" w:rsidP="00EC76B8">
      <w:pPr>
        <w:pStyle w:val="Akapitzlist"/>
        <w:numPr>
          <w:ilvl w:val="0"/>
          <w:numId w:val="16"/>
        </w:numPr>
        <w:ind w:left="284" w:hanging="284"/>
        <w:jc w:val="both"/>
      </w:pPr>
      <w:r>
        <w:t>Korzystanie z usługi SGB ID jest niemożliwe po wygaśnięciu lub rozwiązaniu Umowy BE.</w:t>
      </w:r>
    </w:p>
    <w:p w:rsidR="008816CC" w:rsidRDefault="008816CC" w:rsidP="008816CC">
      <w:pPr>
        <w:pStyle w:val="Akapitzlist"/>
      </w:pPr>
    </w:p>
    <w:p w:rsidR="00EC76B8" w:rsidRDefault="00EC76B8" w:rsidP="00EC76B8">
      <w:pPr>
        <w:jc w:val="center"/>
      </w:pPr>
      <w:r>
        <w:t>§ 9</w:t>
      </w:r>
    </w:p>
    <w:p w:rsidR="008816CC" w:rsidRDefault="008816CC" w:rsidP="008816CC">
      <w:pPr>
        <w:pStyle w:val="Akapitzlist"/>
      </w:pPr>
    </w:p>
    <w:p w:rsidR="008816CC" w:rsidRDefault="008816CC" w:rsidP="00EC76B8">
      <w:pPr>
        <w:pStyle w:val="Akapitzlist"/>
        <w:ind w:left="0"/>
        <w:jc w:val="both"/>
      </w:pPr>
      <w:r>
        <w:t xml:space="preserve">Bank może zaprzestać świadczenia usługi SGB ID w dowolnym momencie, o czym poinformuje na stronie internetowej banku: </w:t>
      </w:r>
      <w:r w:rsidRPr="008816CC">
        <w:rPr>
          <w:b/>
          <w:color w:val="2F5496" w:themeColor="accent5" w:themeShade="BF"/>
        </w:rPr>
        <w:t>www.bsdzierzgon.pl</w:t>
      </w:r>
    </w:p>
    <w:sectPr w:rsidR="008816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E7" w:rsidRDefault="00F418E7" w:rsidP="00F418E7">
      <w:pPr>
        <w:spacing w:after="0" w:line="240" w:lineRule="auto"/>
      </w:pPr>
      <w:r>
        <w:separator/>
      </w:r>
    </w:p>
  </w:endnote>
  <w:endnote w:type="continuationSeparator" w:id="0">
    <w:p w:rsidR="00F418E7" w:rsidRDefault="00F418E7" w:rsidP="00F4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88753"/>
      <w:docPartObj>
        <w:docPartGallery w:val="Page Numbers (Bottom of Page)"/>
        <w:docPartUnique/>
      </w:docPartObj>
    </w:sdtPr>
    <w:sdtEndPr/>
    <w:sdtContent>
      <w:p w:rsidR="00F418E7" w:rsidRDefault="00F418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2A">
          <w:rPr>
            <w:noProof/>
          </w:rPr>
          <w:t>2</w:t>
        </w:r>
        <w:r>
          <w:fldChar w:fldCharType="end"/>
        </w:r>
      </w:p>
    </w:sdtContent>
  </w:sdt>
  <w:p w:rsidR="00F418E7" w:rsidRDefault="00F41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E7" w:rsidRDefault="00F418E7" w:rsidP="00F418E7">
      <w:pPr>
        <w:spacing w:after="0" w:line="240" w:lineRule="auto"/>
      </w:pPr>
      <w:r>
        <w:separator/>
      </w:r>
    </w:p>
  </w:footnote>
  <w:footnote w:type="continuationSeparator" w:id="0">
    <w:p w:rsidR="00F418E7" w:rsidRDefault="00F418E7" w:rsidP="00F4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68"/>
    <w:multiLevelType w:val="hybridMultilevel"/>
    <w:tmpl w:val="A9A8410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364507A"/>
    <w:multiLevelType w:val="hybridMultilevel"/>
    <w:tmpl w:val="3EBE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15F"/>
    <w:multiLevelType w:val="hybridMultilevel"/>
    <w:tmpl w:val="6BE243EE"/>
    <w:lvl w:ilvl="0" w:tplc="0415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D9D40A2"/>
    <w:multiLevelType w:val="hybridMultilevel"/>
    <w:tmpl w:val="DBBC53A2"/>
    <w:lvl w:ilvl="0" w:tplc="F54E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E469B"/>
    <w:multiLevelType w:val="hybridMultilevel"/>
    <w:tmpl w:val="656C3E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7757"/>
    <w:multiLevelType w:val="hybridMultilevel"/>
    <w:tmpl w:val="01881522"/>
    <w:lvl w:ilvl="0" w:tplc="4686F9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213B73"/>
    <w:multiLevelType w:val="hybridMultilevel"/>
    <w:tmpl w:val="164A7AA0"/>
    <w:lvl w:ilvl="0" w:tplc="5B8E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0AF8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6675A"/>
    <w:multiLevelType w:val="hybridMultilevel"/>
    <w:tmpl w:val="4CB8A802"/>
    <w:lvl w:ilvl="0" w:tplc="760AD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4B5B44"/>
    <w:multiLevelType w:val="hybridMultilevel"/>
    <w:tmpl w:val="EB30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098A"/>
    <w:multiLevelType w:val="hybridMultilevel"/>
    <w:tmpl w:val="9DAC44C2"/>
    <w:lvl w:ilvl="0" w:tplc="D234B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7A3406"/>
    <w:multiLevelType w:val="hybridMultilevel"/>
    <w:tmpl w:val="5E88E646"/>
    <w:lvl w:ilvl="0" w:tplc="8C82E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A0B0B"/>
    <w:multiLevelType w:val="hybridMultilevel"/>
    <w:tmpl w:val="40289D8A"/>
    <w:lvl w:ilvl="0" w:tplc="90684FE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F1822F8"/>
    <w:multiLevelType w:val="hybridMultilevel"/>
    <w:tmpl w:val="7B6C8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4305"/>
    <w:multiLevelType w:val="hybridMultilevel"/>
    <w:tmpl w:val="87D8E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96ABF"/>
    <w:multiLevelType w:val="hybridMultilevel"/>
    <w:tmpl w:val="624C818C"/>
    <w:lvl w:ilvl="0" w:tplc="2C6EDE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607063"/>
    <w:multiLevelType w:val="hybridMultilevel"/>
    <w:tmpl w:val="A462F6FA"/>
    <w:lvl w:ilvl="0" w:tplc="1068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D738B"/>
    <w:multiLevelType w:val="hybridMultilevel"/>
    <w:tmpl w:val="6E52C5E8"/>
    <w:lvl w:ilvl="0" w:tplc="84B208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53323F"/>
    <w:multiLevelType w:val="hybridMultilevel"/>
    <w:tmpl w:val="1F0449B4"/>
    <w:lvl w:ilvl="0" w:tplc="8B04B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15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16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6A"/>
    <w:rsid w:val="000C161C"/>
    <w:rsid w:val="001121BF"/>
    <w:rsid w:val="00142B9C"/>
    <w:rsid w:val="001E47D9"/>
    <w:rsid w:val="00276502"/>
    <w:rsid w:val="002E7F2A"/>
    <w:rsid w:val="0032596B"/>
    <w:rsid w:val="00342788"/>
    <w:rsid w:val="003C76DC"/>
    <w:rsid w:val="00480585"/>
    <w:rsid w:val="00620A0E"/>
    <w:rsid w:val="00645DBD"/>
    <w:rsid w:val="00684C5B"/>
    <w:rsid w:val="006B14EF"/>
    <w:rsid w:val="006B216A"/>
    <w:rsid w:val="006E5AD4"/>
    <w:rsid w:val="00715A67"/>
    <w:rsid w:val="00764820"/>
    <w:rsid w:val="00842E52"/>
    <w:rsid w:val="008816CC"/>
    <w:rsid w:val="009673A1"/>
    <w:rsid w:val="009863EA"/>
    <w:rsid w:val="00993959"/>
    <w:rsid w:val="00A547C2"/>
    <w:rsid w:val="00AB7761"/>
    <w:rsid w:val="00BD2682"/>
    <w:rsid w:val="00BF4AF1"/>
    <w:rsid w:val="00D52378"/>
    <w:rsid w:val="00EA2730"/>
    <w:rsid w:val="00EC76B8"/>
    <w:rsid w:val="00F37669"/>
    <w:rsid w:val="00F418E7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FE609-F5A8-46B3-BC63-74B45EA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3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61C"/>
    <w:rPr>
      <w:color w:val="0563C1" w:themeColor="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EA2730"/>
  </w:style>
  <w:style w:type="paragraph" w:styleId="Tekstdymka">
    <w:name w:val="Balloon Text"/>
    <w:basedOn w:val="Normalny"/>
    <w:link w:val="TekstdymkaZnak"/>
    <w:uiPriority w:val="99"/>
    <w:semiHidden/>
    <w:unhideWhenUsed/>
    <w:rsid w:val="006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8E7"/>
  </w:style>
  <w:style w:type="paragraph" w:styleId="Stopka">
    <w:name w:val="footer"/>
    <w:basedOn w:val="Normalny"/>
    <w:link w:val="StopkaZnak"/>
    <w:uiPriority w:val="99"/>
    <w:unhideWhenUsed/>
    <w:rsid w:val="00F4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Walkiewicz</dc:creator>
  <cp:keywords/>
  <dc:description/>
  <cp:lastModifiedBy>Beata Walkiewicz</cp:lastModifiedBy>
  <cp:revision>16</cp:revision>
  <dcterms:created xsi:type="dcterms:W3CDTF">2020-10-01T08:30:00Z</dcterms:created>
  <dcterms:modified xsi:type="dcterms:W3CDTF">2020-10-02T07:09:00Z</dcterms:modified>
</cp:coreProperties>
</file>